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A5F91" w14:textId="73994F04" w:rsidR="006C591F" w:rsidRPr="00CE0424" w:rsidRDefault="006C591F" w:rsidP="006C591F">
      <w:pPr>
        <w:pStyle w:val="3GPPHeader"/>
        <w:spacing w:after="60"/>
        <w:rPr>
          <w:sz w:val="32"/>
          <w:szCs w:val="32"/>
          <w:highlight w:val="yellow"/>
        </w:rPr>
      </w:pPr>
      <w:bookmarkStart w:id="0" w:name="_GoBack"/>
      <w:bookmarkEnd w:id="0"/>
      <w:r w:rsidRPr="00CE0424">
        <w:t xml:space="preserve">3GPP TSG-RAN </w:t>
      </w:r>
      <w:r w:rsidRPr="00936875">
        <w:t xml:space="preserve">WG2 </w:t>
      </w:r>
      <w:r w:rsidR="00032007" w:rsidRPr="002D6B24">
        <w:rPr>
          <w:rFonts w:cs="Arial"/>
          <w:szCs w:val="24"/>
          <w:lang w:val="de-DE"/>
        </w:rPr>
        <w:t>#10</w:t>
      </w:r>
      <w:r w:rsidR="00032007" w:rsidRPr="002D6B24">
        <w:rPr>
          <w:rFonts w:cs="Arial"/>
          <w:szCs w:val="24"/>
          <w:lang w:val="en-US"/>
        </w:rPr>
        <w:t>9-e</w:t>
      </w:r>
      <w:r w:rsidR="00032007" w:rsidRPr="008F1B93" w:rsidDel="00032007">
        <w:rPr>
          <w:lang w:val="en-US"/>
        </w:rPr>
        <w:t xml:space="preserve"> </w:t>
      </w:r>
      <w:r w:rsidRPr="00CE0424">
        <w:tab/>
      </w:r>
      <w:r w:rsidRPr="00CE0424">
        <w:rPr>
          <w:sz w:val="32"/>
          <w:szCs w:val="32"/>
        </w:rPr>
        <w:t xml:space="preserve">Tdoc </w:t>
      </w:r>
      <w:r w:rsidR="00D55BE2" w:rsidRPr="00D55BE2">
        <w:rPr>
          <w:sz w:val="32"/>
          <w:szCs w:val="32"/>
        </w:rPr>
        <w:t>R2-2001205</w:t>
      </w:r>
    </w:p>
    <w:p w14:paraId="305103F6" w14:textId="2143E714" w:rsidR="006C591F" w:rsidRPr="00CE0424" w:rsidRDefault="00DD3730" w:rsidP="006C591F">
      <w:pPr>
        <w:pStyle w:val="3GPPHeader"/>
      </w:pPr>
      <w:r>
        <w:rPr>
          <w:szCs w:val="24"/>
          <w:lang w:val="en-US"/>
        </w:rPr>
        <w:t xml:space="preserve">Electronic Meeting, </w:t>
      </w:r>
      <w:r w:rsidR="00032007" w:rsidRPr="00833D2C">
        <w:rPr>
          <w:szCs w:val="24"/>
          <w:lang w:val="en-US"/>
        </w:rPr>
        <w:t>24</w:t>
      </w:r>
      <w:r w:rsidR="00032007" w:rsidRPr="00833D2C">
        <w:rPr>
          <w:szCs w:val="24"/>
          <w:vertAlign w:val="superscript"/>
          <w:lang w:val="en-US"/>
        </w:rPr>
        <w:t>th</w:t>
      </w:r>
      <w:r w:rsidR="00032007" w:rsidRPr="00833D2C">
        <w:rPr>
          <w:szCs w:val="24"/>
          <w:lang w:val="en-US"/>
        </w:rPr>
        <w:t xml:space="preserve"> February – 6</w:t>
      </w:r>
      <w:r w:rsidR="00032007" w:rsidRPr="00833D2C">
        <w:rPr>
          <w:szCs w:val="24"/>
          <w:vertAlign w:val="superscript"/>
          <w:lang w:val="en-US"/>
        </w:rPr>
        <w:t>th</w:t>
      </w:r>
      <w:r w:rsidR="00032007" w:rsidRPr="00833D2C">
        <w:rPr>
          <w:szCs w:val="24"/>
          <w:lang w:val="en-US"/>
        </w:rPr>
        <w:t xml:space="preserve"> March 2020</w:t>
      </w:r>
      <w:r w:rsidR="006C591F">
        <w:tab/>
        <w:t>Revision of R2-1915867</w:t>
      </w:r>
    </w:p>
    <w:p w14:paraId="1E3D9718" w14:textId="617CC1A5"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6.2.2.</w:t>
      </w:r>
      <w:r w:rsidR="00DD3730">
        <w:rPr>
          <w:sz w:val="22"/>
          <w:szCs w:val="22"/>
        </w:rPr>
        <w:t>3</w:t>
      </w:r>
    </w:p>
    <w:p w14:paraId="3BDA2D7D" w14:textId="77777777"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p>
    <w:p w14:paraId="3C0FEFF9" w14:textId="0CECC54E" w:rsidR="00300AE8" w:rsidRPr="00DC65AC" w:rsidRDefault="00300AE8" w:rsidP="00300AE8">
      <w:pPr>
        <w:pStyle w:val="3GPPHeader"/>
        <w:rPr>
          <w:sz w:val="22"/>
          <w:szCs w:val="22"/>
        </w:rPr>
      </w:pPr>
      <w:r w:rsidRPr="00DC65AC">
        <w:rPr>
          <w:sz w:val="22"/>
          <w:szCs w:val="22"/>
        </w:rPr>
        <w:t>Title:</w:t>
      </w:r>
      <w:r w:rsidRPr="00DC65AC">
        <w:rPr>
          <w:sz w:val="22"/>
          <w:szCs w:val="22"/>
        </w:rPr>
        <w:tab/>
      </w:r>
      <w:r w:rsidR="00F637E9">
        <w:rPr>
          <w:sz w:val="22"/>
          <w:szCs w:val="22"/>
        </w:rPr>
        <w:t>C</w:t>
      </w:r>
      <w:r w:rsidR="007F2F36" w:rsidRPr="00DC65AC">
        <w:rPr>
          <w:sz w:val="22"/>
          <w:szCs w:val="22"/>
        </w:rPr>
        <w:t xml:space="preserve">onfigured </w:t>
      </w:r>
      <w:r w:rsidR="00F637E9">
        <w:rPr>
          <w:sz w:val="22"/>
          <w:szCs w:val="22"/>
        </w:rPr>
        <w:t>G</w:t>
      </w:r>
      <w:r w:rsidR="007F2F36" w:rsidRPr="00DC65AC">
        <w:rPr>
          <w:sz w:val="22"/>
          <w:szCs w:val="22"/>
        </w:rPr>
        <w:t>rant</w:t>
      </w:r>
      <w:r w:rsidR="007E135F">
        <w:rPr>
          <w:sz w:val="22"/>
          <w:szCs w:val="22"/>
        </w:rPr>
        <w:t xml:space="preserve"> remaining issues</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1F3A1784" w14:textId="77FF0AF0" w:rsidR="00300AE8" w:rsidRPr="00DC65AC" w:rsidRDefault="00300AE8" w:rsidP="00300AE8">
      <w:pPr>
        <w:pStyle w:val="Heading1"/>
      </w:pPr>
      <w:r w:rsidRPr="00DC65AC">
        <w:t>Introduction</w:t>
      </w:r>
    </w:p>
    <w:p w14:paraId="4C61E694" w14:textId="52023FA2" w:rsidR="00F32775" w:rsidRPr="00DC65AC" w:rsidRDefault="009749A8" w:rsidP="00EA6E9F">
      <w:pPr>
        <w:spacing w:before="120"/>
        <w:rPr>
          <w:rFonts w:eastAsia="MS Mincho"/>
          <w:szCs w:val="24"/>
          <w:lang w:eastAsia="en-GB"/>
        </w:rPr>
      </w:pPr>
      <w:r>
        <w:rPr>
          <w:rFonts w:eastAsia="MS Mincho"/>
          <w:szCs w:val="24"/>
          <w:lang w:eastAsia="en-GB"/>
        </w:rPr>
        <w:t xml:space="preserve">There are still some remaining issues for further discussions. </w:t>
      </w:r>
      <w:r w:rsidR="003150F4" w:rsidRPr="00DC65AC">
        <w:rPr>
          <w:rFonts w:eastAsia="MS Mincho"/>
          <w:szCs w:val="24"/>
          <w:lang w:eastAsia="en-GB"/>
        </w:rPr>
        <w:t xml:space="preserve"> The remaining issues </w:t>
      </w:r>
      <w:r w:rsidR="00F32775" w:rsidRPr="00DC65AC">
        <w:rPr>
          <w:rFonts w:eastAsia="MS Mincho"/>
          <w:szCs w:val="24"/>
          <w:lang w:eastAsia="en-GB"/>
        </w:rPr>
        <w:t xml:space="preserve">covered by this paper include </w:t>
      </w:r>
    </w:p>
    <w:p w14:paraId="71F3F5CB" w14:textId="197B707C" w:rsidR="00457C26" w:rsidRDefault="00DA57C8" w:rsidP="001E7710">
      <w:pPr>
        <w:pStyle w:val="ListParagraph"/>
        <w:numPr>
          <w:ilvl w:val="0"/>
          <w:numId w:val="9"/>
        </w:numPr>
        <w:spacing w:before="120"/>
        <w:rPr>
          <w:rFonts w:eastAsia="MS Mincho"/>
          <w:szCs w:val="24"/>
          <w:lang w:eastAsia="en-GB"/>
        </w:rPr>
      </w:pPr>
      <w:r w:rsidRPr="00CC47B6">
        <w:rPr>
          <w:rFonts w:eastAsia="MS Mincho"/>
          <w:szCs w:val="24"/>
          <w:lang w:eastAsia="en-GB"/>
        </w:rPr>
        <w:t>Activation and deactivation of multiple CG configurations</w:t>
      </w:r>
    </w:p>
    <w:p w14:paraId="2F97044A" w14:textId="769F8482" w:rsidR="00C465F8" w:rsidRDefault="00C465F8" w:rsidP="001E7710">
      <w:pPr>
        <w:pStyle w:val="ListParagraph"/>
        <w:numPr>
          <w:ilvl w:val="0"/>
          <w:numId w:val="9"/>
        </w:numPr>
        <w:spacing w:before="120"/>
        <w:rPr>
          <w:rFonts w:eastAsia="MS Mincho"/>
          <w:szCs w:val="24"/>
          <w:lang w:val="en-US" w:eastAsia="en-GB"/>
        </w:rPr>
      </w:pPr>
      <w:r w:rsidRPr="00CC47B6">
        <w:rPr>
          <w:rFonts w:eastAsia="MS Mincho"/>
          <w:szCs w:val="24"/>
          <w:lang w:val="en-US" w:eastAsia="en-GB"/>
        </w:rPr>
        <w:t>HARQ process handling in case</w:t>
      </w:r>
      <w:r>
        <w:rPr>
          <w:rFonts w:eastAsia="MS Mincho"/>
          <w:szCs w:val="24"/>
          <w:lang w:val="en-US" w:eastAsia="en-GB"/>
        </w:rPr>
        <w:t xml:space="preserve"> reception of a DCI activation command</w:t>
      </w:r>
    </w:p>
    <w:p w14:paraId="60AB66BC" w14:textId="65DA8F4F" w:rsidR="00C465F8" w:rsidRPr="00CC47B6" w:rsidRDefault="00C465F8" w:rsidP="00CC47B6">
      <w:pPr>
        <w:pStyle w:val="ListParagraph"/>
        <w:numPr>
          <w:ilvl w:val="0"/>
          <w:numId w:val="9"/>
        </w:numPr>
        <w:spacing w:before="120"/>
        <w:rPr>
          <w:rFonts w:eastAsia="MS Mincho"/>
          <w:szCs w:val="24"/>
          <w:lang w:val="en-US" w:eastAsia="en-GB"/>
        </w:rPr>
      </w:pPr>
      <w:r>
        <w:rPr>
          <w:rFonts w:eastAsia="MS Mincho"/>
          <w:szCs w:val="24"/>
          <w:lang w:val="en-US" w:eastAsia="en-GB"/>
        </w:rPr>
        <w:t>CG with repetition</w:t>
      </w:r>
    </w:p>
    <w:p w14:paraId="5B85419B" w14:textId="6CB7D116" w:rsidR="00DD64F1" w:rsidRPr="00DC65AC" w:rsidRDefault="00C45BFF" w:rsidP="007D68FA">
      <w:pPr>
        <w:pStyle w:val="Heading1"/>
      </w:pPr>
      <w:bookmarkStart w:id="1" w:name="_Ref525834269"/>
      <w:r w:rsidRPr="00DC65AC">
        <w:t>Discussion</w:t>
      </w:r>
      <w:bookmarkStart w:id="2" w:name="_Toc16701630"/>
      <w:bookmarkEnd w:id="1"/>
      <w:bookmarkEnd w:id="2"/>
    </w:p>
    <w:p w14:paraId="76E79AF6" w14:textId="4E0CBCFD" w:rsidR="008D3F48" w:rsidRPr="00DC65AC" w:rsidRDefault="00CE1160" w:rsidP="008D3F48">
      <w:pPr>
        <w:pStyle w:val="Heading2"/>
      </w:pPr>
      <w:r w:rsidRPr="00DC65AC">
        <w:t>Multiple active configured grant configurations</w:t>
      </w:r>
    </w:p>
    <w:p w14:paraId="38335F15" w14:textId="2092DF60" w:rsidR="00F55529" w:rsidRPr="00F55529" w:rsidRDefault="00F55529" w:rsidP="00F55529">
      <w:pPr>
        <w:rPr>
          <w:rFonts w:cs="Arial"/>
          <w:lang w:val="en-US"/>
        </w:rPr>
      </w:pPr>
      <w:bookmarkStart w:id="3" w:name="_Toc19791224"/>
      <w:bookmarkStart w:id="4" w:name="_Toc20486583"/>
      <w:r w:rsidRPr="00F55529">
        <w:rPr>
          <w:rFonts w:cs="Arial"/>
          <w:lang w:val="en-US"/>
        </w:rPr>
        <w:t>In NR-U,</w:t>
      </w:r>
      <w:r w:rsidR="002878AD">
        <w:rPr>
          <w:rFonts w:cs="Arial"/>
          <w:lang w:val="en-US"/>
        </w:rPr>
        <w:t xml:space="preserve"> i</w:t>
      </w:r>
      <w:r w:rsidRPr="00F55529">
        <w:rPr>
          <w:rFonts w:cs="Arial"/>
          <w:lang w:val="en-US"/>
        </w:rPr>
        <w:t>t has been agreed to support multiple CG configurations for a BWP.</w:t>
      </w:r>
      <w:r w:rsidR="002878AD">
        <w:rPr>
          <w:rFonts w:cs="Arial"/>
          <w:lang w:val="en-US"/>
        </w:rPr>
        <w:t xml:space="preserve"> T</w:t>
      </w:r>
      <w:r w:rsidRPr="00F55529">
        <w:rPr>
          <w:rFonts w:cs="Arial"/>
          <w:lang w:val="en-US"/>
        </w:rPr>
        <w:t>here are two remaining issues to be addressed.</w:t>
      </w:r>
    </w:p>
    <w:p w14:paraId="3AF10D6B" w14:textId="77777777" w:rsidR="00F55529" w:rsidRPr="00F55529" w:rsidRDefault="00F55529" w:rsidP="00F55529">
      <w:pPr>
        <w:rPr>
          <w:rFonts w:cs="Arial"/>
          <w:lang w:val="en-US"/>
        </w:rPr>
      </w:pPr>
      <w:r w:rsidRPr="00F55529">
        <w:rPr>
          <w:rFonts w:cs="Arial"/>
          <w:lang w:val="en-US"/>
        </w:rPr>
        <w:t>Issue 1: how to activate or deactivate a Type 2 CG configuration?</w:t>
      </w:r>
    </w:p>
    <w:p w14:paraId="4C9C8F59" w14:textId="77777777" w:rsidR="00F55529" w:rsidRPr="00F55529" w:rsidRDefault="00F55529" w:rsidP="00F55529">
      <w:pPr>
        <w:rPr>
          <w:rFonts w:cs="Arial"/>
          <w:lang w:val="en-US"/>
        </w:rPr>
      </w:pPr>
      <w:r w:rsidRPr="00F55529">
        <w:rPr>
          <w:rFonts w:cs="Arial"/>
          <w:lang w:val="en-US"/>
        </w:rPr>
        <w:t>Issue 2: how to confirm a configured grant activation or deactivation?</w:t>
      </w:r>
    </w:p>
    <w:p w14:paraId="10363956" w14:textId="29485278" w:rsidR="00762E46" w:rsidRDefault="00B96A83" w:rsidP="00F55529">
      <w:pPr>
        <w:rPr>
          <w:rFonts w:cs="Arial"/>
          <w:lang w:val="en-US"/>
        </w:rPr>
      </w:pPr>
      <w:r>
        <w:rPr>
          <w:rFonts w:cs="Arial"/>
          <w:lang w:val="en-US"/>
        </w:rPr>
        <w:t>The</w:t>
      </w:r>
      <w:r w:rsidR="00B87DBA">
        <w:rPr>
          <w:rFonts w:cs="Arial"/>
          <w:lang w:val="en-US"/>
        </w:rPr>
        <w:t xml:space="preserve"> above</w:t>
      </w:r>
      <w:r>
        <w:rPr>
          <w:rFonts w:cs="Arial"/>
          <w:lang w:val="en-US"/>
        </w:rPr>
        <w:t xml:space="preserve"> </w:t>
      </w:r>
      <w:r w:rsidR="00F55529" w:rsidRPr="00F55529">
        <w:rPr>
          <w:rFonts w:cs="Arial"/>
          <w:lang w:val="en-US"/>
        </w:rPr>
        <w:t xml:space="preserve">issues </w:t>
      </w:r>
      <w:r>
        <w:rPr>
          <w:rFonts w:cs="Arial"/>
          <w:lang w:val="en-US"/>
        </w:rPr>
        <w:t>were already concluded</w:t>
      </w:r>
      <w:r w:rsidR="00F55529" w:rsidRPr="00F55529">
        <w:rPr>
          <w:rFonts w:cs="Arial"/>
          <w:lang w:val="en-US"/>
        </w:rPr>
        <w:t xml:space="preserve"> in </w:t>
      </w:r>
      <w:r w:rsidR="009D12D4">
        <w:rPr>
          <w:rFonts w:cs="Arial"/>
          <w:lang w:val="en-US"/>
        </w:rPr>
        <w:t xml:space="preserve">the </w:t>
      </w:r>
      <w:r w:rsidR="009D12D4">
        <w:t>I</w:t>
      </w:r>
      <w:r w:rsidR="00DF6CA8">
        <w:t>O</w:t>
      </w:r>
      <w:r w:rsidR="009D12D4">
        <w:t>T</w:t>
      </w:r>
      <w:r w:rsidR="009D12D4" w:rsidRPr="00F55529">
        <w:rPr>
          <w:rFonts w:cs="Arial"/>
          <w:lang w:val="en-US"/>
        </w:rPr>
        <w:t xml:space="preserve"> </w:t>
      </w:r>
      <w:r w:rsidR="00F55529" w:rsidRPr="00F55529">
        <w:rPr>
          <w:rFonts w:cs="Arial"/>
          <w:lang w:val="en-US"/>
        </w:rPr>
        <w:t>WI.</w:t>
      </w:r>
      <w:r w:rsidR="00856AC6">
        <w:rPr>
          <w:rFonts w:cs="Arial"/>
          <w:lang w:val="en-US"/>
        </w:rPr>
        <w:t xml:space="preserve"> </w:t>
      </w:r>
    </w:p>
    <w:p w14:paraId="4AEAD866" w14:textId="30234DCB" w:rsidR="00F55529" w:rsidRPr="00F55529" w:rsidRDefault="00F55529" w:rsidP="00F55529">
      <w:pPr>
        <w:rPr>
          <w:rFonts w:cs="Arial"/>
          <w:lang w:val="en-US"/>
        </w:rPr>
      </w:pPr>
      <w:r w:rsidRPr="00F55529">
        <w:rPr>
          <w:rFonts w:cs="Arial"/>
          <w:lang w:val="en-US"/>
        </w:rPr>
        <w:t xml:space="preserve">Below are related </w:t>
      </w:r>
      <w:r w:rsidR="00762E46">
        <w:rPr>
          <w:rFonts w:cs="Arial"/>
          <w:lang w:val="en-US"/>
        </w:rPr>
        <w:t xml:space="preserve">RAN1 </w:t>
      </w:r>
      <w:r w:rsidRPr="00F55529">
        <w:rPr>
          <w:rFonts w:cs="Arial"/>
          <w:lang w:val="en-US"/>
        </w:rPr>
        <w:t>agreements</w:t>
      </w:r>
      <w:r w:rsidR="00762E46">
        <w:rPr>
          <w:rFonts w:cs="Arial"/>
          <w:lang w:val="en-US"/>
        </w:rPr>
        <w:t>.</w:t>
      </w:r>
    </w:p>
    <w:p w14:paraId="2E7CA516" w14:textId="77777777" w:rsidR="00F55529" w:rsidRPr="00F55529" w:rsidRDefault="00F55529" w:rsidP="00F55529">
      <w:pPr>
        <w:rPr>
          <w:rFonts w:cs="Arial"/>
          <w:i/>
          <w:iCs/>
          <w:lang w:val="en-US" w:eastAsia="x-none"/>
        </w:rPr>
      </w:pPr>
      <w:r w:rsidRPr="00F55529">
        <w:rPr>
          <w:rFonts w:cs="Arial"/>
          <w:i/>
          <w:iCs/>
          <w:highlight w:val="green"/>
          <w:lang w:val="en-US" w:eastAsia="x-none"/>
        </w:rPr>
        <w:t>Agreements</w:t>
      </w:r>
      <w:r w:rsidRPr="00F55529">
        <w:rPr>
          <w:rFonts w:cs="Arial"/>
          <w:i/>
          <w:iCs/>
          <w:lang w:val="en-US" w:eastAsia="x-none"/>
        </w:rPr>
        <w:t>:</w:t>
      </w:r>
    </w:p>
    <w:p w14:paraId="7ED60345" w14:textId="77777777" w:rsidR="00F55529" w:rsidRPr="00F55529" w:rsidRDefault="00F55529" w:rsidP="00F55529">
      <w:pPr>
        <w:pStyle w:val="ListParagraph"/>
        <w:numPr>
          <w:ilvl w:val="0"/>
          <w:numId w:val="18"/>
        </w:numPr>
        <w:overflowPunct/>
        <w:autoSpaceDE/>
        <w:autoSpaceDN/>
        <w:adjustRightInd/>
        <w:spacing w:afterLines="50"/>
        <w:contextualSpacing w:val="0"/>
        <w:textAlignment w:val="auto"/>
        <w:rPr>
          <w:rFonts w:cs="Arial"/>
          <w:i/>
          <w:iCs/>
          <w:lang w:eastAsia="x-none"/>
        </w:rPr>
      </w:pPr>
      <w:r w:rsidRPr="00F55529">
        <w:rPr>
          <w:rFonts w:cs="Arial"/>
          <w:i/>
          <w:iCs/>
        </w:rPr>
        <w:t>Support DCI format 0-0, 0-1 and new DCI format scheduling PUSCH for Rel.16 Type 2 CG activation.</w:t>
      </w:r>
    </w:p>
    <w:p w14:paraId="73487CCD" w14:textId="77777777" w:rsidR="00F55529" w:rsidRPr="00F55529" w:rsidRDefault="00F55529" w:rsidP="00F55529">
      <w:pPr>
        <w:rPr>
          <w:rFonts w:cs="Arial"/>
          <w:i/>
          <w:iCs/>
          <w:lang w:val="en-US" w:eastAsia="x-none"/>
        </w:rPr>
      </w:pPr>
    </w:p>
    <w:p w14:paraId="3EE8C5B9" w14:textId="77777777" w:rsidR="00F55529" w:rsidRPr="00F55529" w:rsidRDefault="00F55529" w:rsidP="00F55529">
      <w:pPr>
        <w:rPr>
          <w:rFonts w:cs="Arial"/>
          <w:i/>
          <w:iCs/>
          <w:lang w:val="sv-SE" w:eastAsia="x-none"/>
        </w:rPr>
      </w:pPr>
      <w:r w:rsidRPr="00F55529">
        <w:rPr>
          <w:rFonts w:cs="Arial"/>
          <w:i/>
          <w:iCs/>
          <w:highlight w:val="green"/>
          <w:lang w:eastAsia="x-none"/>
        </w:rPr>
        <w:t>Agreements</w:t>
      </w:r>
      <w:r w:rsidRPr="00F55529">
        <w:rPr>
          <w:rFonts w:cs="Arial"/>
          <w:i/>
          <w:iCs/>
          <w:lang w:eastAsia="x-none"/>
        </w:rPr>
        <w:t>:</w:t>
      </w:r>
    </w:p>
    <w:p w14:paraId="02F630CA" w14:textId="77777777" w:rsidR="00F55529" w:rsidRPr="00F55529" w:rsidRDefault="00F55529" w:rsidP="00F55529">
      <w:pPr>
        <w:pStyle w:val="ListParagraph"/>
        <w:numPr>
          <w:ilvl w:val="0"/>
          <w:numId w:val="18"/>
        </w:numPr>
        <w:overflowPunct/>
        <w:autoSpaceDE/>
        <w:autoSpaceDN/>
        <w:adjustRightInd/>
        <w:spacing w:afterLines="50"/>
        <w:contextualSpacing w:val="0"/>
        <w:textAlignment w:val="auto"/>
        <w:rPr>
          <w:rFonts w:cs="Arial"/>
          <w:i/>
          <w:iCs/>
          <w:lang w:eastAsia="x-none"/>
        </w:rPr>
      </w:pPr>
      <w:r w:rsidRPr="00F55529">
        <w:rPr>
          <w:rFonts w:cs="Arial"/>
          <w:i/>
          <w:iCs/>
        </w:rPr>
        <w:t>Support DCI format 0-0 for Rel.16 Type 2 CG release.</w:t>
      </w:r>
    </w:p>
    <w:p w14:paraId="39BA5C0C" w14:textId="77777777" w:rsidR="00F55529" w:rsidRPr="00F55529" w:rsidRDefault="00F55529" w:rsidP="00F55529">
      <w:pPr>
        <w:pStyle w:val="ListParagraph"/>
        <w:numPr>
          <w:ilvl w:val="1"/>
          <w:numId w:val="18"/>
        </w:numPr>
        <w:overflowPunct/>
        <w:autoSpaceDE/>
        <w:autoSpaceDN/>
        <w:adjustRightInd/>
        <w:spacing w:afterLines="50"/>
        <w:contextualSpacing w:val="0"/>
        <w:textAlignment w:val="auto"/>
        <w:rPr>
          <w:rFonts w:cs="Arial"/>
          <w:i/>
          <w:iCs/>
        </w:rPr>
      </w:pPr>
      <w:r w:rsidRPr="00F55529">
        <w:rPr>
          <w:rFonts w:cs="Arial"/>
          <w:i/>
          <w:iCs/>
        </w:rPr>
        <w:t xml:space="preserve">As a </w:t>
      </w:r>
      <w:r w:rsidRPr="00F55529">
        <w:rPr>
          <w:rFonts w:cs="Arial"/>
          <w:i/>
          <w:iCs/>
          <w:highlight w:val="darkYellow"/>
        </w:rPr>
        <w:t>working assumption</w:t>
      </w:r>
      <w:r w:rsidRPr="00F55529">
        <w:rPr>
          <w:rFonts w:cs="Arial"/>
          <w:i/>
          <w:iCs/>
        </w:rPr>
        <w:t>, also DCI format 0-1 and the new DCI format</w:t>
      </w:r>
    </w:p>
    <w:p w14:paraId="3D6A07B6" w14:textId="77777777" w:rsidR="00F55529" w:rsidRPr="00F55529" w:rsidRDefault="00F55529" w:rsidP="00F55529">
      <w:pPr>
        <w:rPr>
          <w:rFonts w:cs="Arial"/>
          <w:i/>
          <w:iCs/>
          <w:lang w:val="en-US" w:eastAsia="x-none"/>
        </w:rPr>
      </w:pPr>
    </w:p>
    <w:p w14:paraId="27B6A94F" w14:textId="77777777" w:rsidR="00F55529" w:rsidRPr="00F55529" w:rsidRDefault="00F55529" w:rsidP="00F55529">
      <w:pPr>
        <w:rPr>
          <w:rFonts w:cs="Arial"/>
          <w:i/>
          <w:iCs/>
          <w:lang w:val="sv-SE" w:eastAsia="x-none"/>
        </w:rPr>
      </w:pPr>
      <w:r w:rsidRPr="00F55529">
        <w:rPr>
          <w:rFonts w:cs="Arial"/>
          <w:i/>
          <w:iCs/>
          <w:highlight w:val="green"/>
          <w:lang w:eastAsia="x-none"/>
        </w:rPr>
        <w:t>Agreements</w:t>
      </w:r>
      <w:r w:rsidRPr="00F55529">
        <w:rPr>
          <w:rFonts w:cs="Arial"/>
          <w:i/>
          <w:iCs/>
          <w:lang w:eastAsia="x-none"/>
        </w:rPr>
        <w:t>:</w:t>
      </w:r>
    </w:p>
    <w:p w14:paraId="258A0D86" w14:textId="77777777" w:rsidR="00F55529" w:rsidRPr="00F55529" w:rsidRDefault="00F55529" w:rsidP="00F55529">
      <w:pPr>
        <w:pStyle w:val="ListParagraph"/>
        <w:numPr>
          <w:ilvl w:val="0"/>
          <w:numId w:val="18"/>
        </w:numPr>
        <w:overflowPunct/>
        <w:autoSpaceDE/>
        <w:autoSpaceDN/>
        <w:adjustRightInd/>
        <w:spacing w:afterLines="50"/>
        <w:contextualSpacing w:val="0"/>
        <w:textAlignment w:val="auto"/>
        <w:rPr>
          <w:rFonts w:cs="Arial"/>
          <w:i/>
          <w:iCs/>
          <w:lang w:eastAsia="x-none"/>
        </w:rPr>
      </w:pPr>
      <w:r w:rsidRPr="00F55529">
        <w:rPr>
          <w:rFonts w:cs="Arial"/>
          <w:i/>
          <w:iCs/>
        </w:rPr>
        <w:t>M (M&lt;=4) least significant bits of HPN field in DCI format 0-0 with CRC scrambled by CS-RNTI is used to indicate which configuration is to be activated and which configuration(s) is/are to be released.</w:t>
      </w:r>
    </w:p>
    <w:p w14:paraId="3C358EA5" w14:textId="77777777" w:rsidR="00F55529" w:rsidRPr="00F55529" w:rsidRDefault="00F55529" w:rsidP="00F55529">
      <w:pPr>
        <w:pStyle w:val="ListParagraph"/>
        <w:numPr>
          <w:ilvl w:val="0"/>
          <w:numId w:val="18"/>
        </w:numPr>
        <w:overflowPunct/>
        <w:autoSpaceDE/>
        <w:autoSpaceDN/>
        <w:adjustRightInd/>
        <w:spacing w:afterLines="50"/>
        <w:contextualSpacing w:val="0"/>
        <w:textAlignment w:val="auto"/>
        <w:rPr>
          <w:rFonts w:cs="Arial"/>
          <w:i/>
          <w:iCs/>
        </w:rPr>
      </w:pPr>
      <w:r w:rsidRPr="00F55529">
        <w:rPr>
          <w:rFonts w:cs="Arial"/>
          <w:i/>
          <w:iCs/>
        </w:rPr>
        <w:t>M (M&lt;=4) least significant bits of HPN field in DCI format 0-1 with CRC scrambled by CS-RNTI is used to indicate which configuration is to be activated.</w:t>
      </w:r>
    </w:p>
    <w:p w14:paraId="6DAE15EC" w14:textId="77777777" w:rsidR="00F55529" w:rsidRPr="00F55529" w:rsidRDefault="00F55529" w:rsidP="00F55529">
      <w:pPr>
        <w:pStyle w:val="ListParagraph"/>
        <w:numPr>
          <w:ilvl w:val="0"/>
          <w:numId w:val="18"/>
        </w:numPr>
        <w:overflowPunct/>
        <w:autoSpaceDE/>
        <w:autoSpaceDN/>
        <w:adjustRightInd/>
        <w:spacing w:afterLines="50"/>
        <w:contextualSpacing w:val="0"/>
        <w:textAlignment w:val="auto"/>
        <w:rPr>
          <w:rFonts w:cs="Arial"/>
          <w:i/>
          <w:iCs/>
        </w:rPr>
      </w:pPr>
      <w:r w:rsidRPr="00F55529">
        <w:rPr>
          <w:rFonts w:cs="Arial"/>
          <w:i/>
          <w:iCs/>
        </w:rPr>
        <w:t>M (M&lt;=4) least significant bits of HPN field in DCI format 0-1 with CRC scrambled by CS-RNTI is used to indicate which configuration(s) is to be released.</w:t>
      </w:r>
    </w:p>
    <w:p w14:paraId="4A8BF199" w14:textId="77777777" w:rsidR="00F55529" w:rsidRPr="00F55529" w:rsidRDefault="00F55529" w:rsidP="00F55529">
      <w:pPr>
        <w:pStyle w:val="ListParagraph"/>
        <w:numPr>
          <w:ilvl w:val="0"/>
          <w:numId w:val="18"/>
        </w:numPr>
        <w:overflowPunct/>
        <w:autoSpaceDE/>
        <w:autoSpaceDN/>
        <w:adjustRightInd/>
        <w:spacing w:afterLines="50"/>
        <w:contextualSpacing w:val="0"/>
        <w:textAlignment w:val="auto"/>
        <w:rPr>
          <w:rFonts w:cs="Arial"/>
          <w:i/>
          <w:iCs/>
        </w:rPr>
      </w:pPr>
      <w:r w:rsidRPr="00F55529">
        <w:rPr>
          <w:rFonts w:cs="Arial"/>
          <w:i/>
          <w:iCs/>
        </w:rPr>
        <w:t>FFS details of M, including M can be the same or different for activation and release DCI.</w:t>
      </w:r>
    </w:p>
    <w:p w14:paraId="326A3785" w14:textId="77777777" w:rsidR="00453F6D" w:rsidRDefault="00453F6D" w:rsidP="00453F6D">
      <w:pPr>
        <w:overflowPunct/>
        <w:autoSpaceDE/>
        <w:adjustRightInd/>
        <w:spacing w:after="180"/>
        <w:jc w:val="left"/>
        <w:textAlignment w:val="auto"/>
        <w:rPr>
          <w:lang w:eastAsia="ko-KR"/>
        </w:rPr>
      </w:pPr>
    </w:p>
    <w:p w14:paraId="2FE0B692" w14:textId="7043EB7A" w:rsidR="00453F6D" w:rsidRPr="00453F6D" w:rsidRDefault="00453F6D" w:rsidP="00453F6D">
      <w:pPr>
        <w:pStyle w:val="Observation"/>
        <w:ind w:left="1701" w:hanging="1701"/>
      </w:pPr>
      <w:bookmarkStart w:id="5" w:name="_Toc29376291"/>
      <w:bookmarkStart w:id="6" w:name="_Toc29376304"/>
      <w:bookmarkStart w:id="7" w:name="_Toc29376382"/>
      <w:bookmarkStart w:id="8" w:name="_Toc31286491"/>
      <w:bookmarkStart w:id="9" w:name="_Toc32390533"/>
      <w:bookmarkStart w:id="10" w:name="_Toc32496951"/>
      <w:bookmarkStart w:id="11" w:name="_Toc32498486"/>
      <w:bookmarkStart w:id="12" w:name="_Toc32508389"/>
      <w:bookmarkStart w:id="13" w:name="_Toc32521250"/>
      <w:bookmarkStart w:id="14" w:name="_Toc32522029"/>
      <w:r w:rsidRPr="00453F6D">
        <w:lastRenderedPageBreak/>
        <w:t xml:space="preserve">The HARQ process number field in the UL DCI (format 0-0 and format 0-1) scrambled by CS-RNTI is used to </w:t>
      </w:r>
      <w:r w:rsidRPr="00453F6D">
        <w:rPr>
          <w:rFonts w:cs="Arial"/>
          <w:iCs/>
        </w:rPr>
        <w:t>indicate which configuration is to be activated and which configuration(s) is/are to be released</w:t>
      </w:r>
      <w:r w:rsidRPr="00453F6D">
        <w:t>.</w:t>
      </w:r>
      <w:bookmarkEnd w:id="5"/>
      <w:bookmarkEnd w:id="6"/>
      <w:bookmarkEnd w:id="7"/>
      <w:bookmarkEnd w:id="8"/>
      <w:bookmarkEnd w:id="9"/>
      <w:bookmarkEnd w:id="10"/>
      <w:bookmarkEnd w:id="11"/>
      <w:bookmarkEnd w:id="12"/>
      <w:bookmarkEnd w:id="13"/>
      <w:bookmarkEnd w:id="14"/>
    </w:p>
    <w:p w14:paraId="3E174BF2" w14:textId="77777777" w:rsidR="00F55529" w:rsidRPr="00F55529" w:rsidRDefault="00F55529" w:rsidP="00F55529">
      <w:pPr>
        <w:rPr>
          <w:rFonts w:cs="Arial"/>
          <w:lang w:val="en-US"/>
        </w:rPr>
      </w:pPr>
      <w:r w:rsidRPr="00F55529">
        <w:rPr>
          <w:rFonts w:cs="Arial"/>
          <w:lang w:val="en-US"/>
        </w:rPr>
        <w:t>Below are related RAN2 agreements</w:t>
      </w:r>
    </w:p>
    <w:p w14:paraId="1EC954D1" w14:textId="77777777" w:rsidR="00F55529" w:rsidRPr="00F55529" w:rsidRDefault="00F55529" w:rsidP="00F55529">
      <w:pPr>
        <w:pStyle w:val="Agreement"/>
        <w:numPr>
          <w:ilvl w:val="0"/>
          <w:numId w:val="17"/>
        </w:numPr>
        <w:rPr>
          <w:rFonts w:cs="Arial"/>
        </w:rPr>
      </w:pPr>
      <w:r w:rsidRPr="00F55529">
        <w:rPr>
          <w:rFonts w:cs="Arial"/>
        </w:rPr>
        <w:t xml:space="preserve">Multiple CG activation/deactivation confirmation </w:t>
      </w:r>
      <w:r w:rsidRPr="00F55529">
        <w:rPr>
          <w:rFonts w:cs="Arial"/>
          <w:lang w:val="en-US"/>
        </w:rPr>
        <w:t>MAC CE contains only a bitmap of CG configurations using CG ID unique per MAC entity and configured by RRC in addition to CG ID introduced by RAN1.</w:t>
      </w:r>
    </w:p>
    <w:p w14:paraId="2CC78E80" w14:textId="77777777" w:rsidR="00F55529" w:rsidRPr="00F55529" w:rsidRDefault="00F55529" w:rsidP="00F55529">
      <w:pPr>
        <w:pStyle w:val="Agreement"/>
        <w:numPr>
          <w:ilvl w:val="0"/>
          <w:numId w:val="17"/>
        </w:numPr>
        <w:rPr>
          <w:rFonts w:cs="Arial"/>
        </w:rPr>
      </w:pPr>
      <w:r w:rsidRPr="00F55529">
        <w:rPr>
          <w:rFonts w:cs="Arial"/>
          <w:lang w:val="en-US"/>
        </w:rPr>
        <w:t>Multiple CG activation/deactivation confirmation MAC CE uses new LCID value.</w:t>
      </w:r>
    </w:p>
    <w:p w14:paraId="7EB27D4B" w14:textId="44380D92" w:rsidR="00F55529" w:rsidRDefault="00F55529" w:rsidP="00F55529">
      <w:pPr>
        <w:rPr>
          <w:rFonts w:cs="Arial"/>
        </w:rPr>
      </w:pPr>
    </w:p>
    <w:p w14:paraId="1E6EC2EA" w14:textId="57CEC19C" w:rsidR="00453F6D" w:rsidRPr="00453F6D" w:rsidRDefault="00CB6273" w:rsidP="00453F6D">
      <w:pPr>
        <w:pStyle w:val="Observation"/>
        <w:ind w:left="1701" w:hanging="1701"/>
      </w:pPr>
      <w:bookmarkStart w:id="15" w:name="_Toc29376292"/>
      <w:bookmarkStart w:id="16" w:name="_Toc29376305"/>
      <w:bookmarkStart w:id="17" w:name="_Toc29376383"/>
      <w:bookmarkStart w:id="18" w:name="_Toc31286492"/>
      <w:bookmarkStart w:id="19" w:name="_Toc32390534"/>
      <w:bookmarkStart w:id="20" w:name="_Toc32496952"/>
      <w:bookmarkStart w:id="21" w:name="_Toc32498487"/>
      <w:bookmarkStart w:id="22" w:name="_Toc32508390"/>
      <w:bookmarkStart w:id="23" w:name="_Toc32521251"/>
      <w:bookmarkStart w:id="24" w:name="_Toc32522030"/>
      <w:r>
        <w:t xml:space="preserve">A bitmap of CG configurations has been agreed to be adopted to </w:t>
      </w:r>
      <w:r w:rsidRPr="00F55529">
        <w:rPr>
          <w:rFonts w:cs="Arial"/>
          <w:lang w:val="en-US"/>
        </w:rPr>
        <w:t>Multiple CG activation/deactivation confirmation MAC CE</w:t>
      </w:r>
      <w:r w:rsidR="00453F6D" w:rsidRPr="00453F6D">
        <w:t>.</w:t>
      </w:r>
      <w:bookmarkEnd w:id="15"/>
      <w:bookmarkEnd w:id="16"/>
      <w:bookmarkEnd w:id="17"/>
      <w:bookmarkEnd w:id="18"/>
      <w:bookmarkEnd w:id="19"/>
      <w:bookmarkEnd w:id="20"/>
      <w:bookmarkEnd w:id="21"/>
      <w:bookmarkEnd w:id="22"/>
      <w:bookmarkEnd w:id="23"/>
      <w:bookmarkEnd w:id="24"/>
    </w:p>
    <w:p w14:paraId="356D7CF2" w14:textId="25618995" w:rsidR="00453F6D" w:rsidRDefault="00CB6273" w:rsidP="00F55529">
      <w:pPr>
        <w:rPr>
          <w:rFonts w:cs="Arial"/>
          <w:lang w:val="en-US"/>
        </w:rPr>
      </w:pPr>
      <w:r>
        <w:rPr>
          <w:rFonts w:cs="Arial"/>
        </w:rPr>
        <w:t xml:space="preserve">In addition, the detailed bitmap size is going to be defined in </w:t>
      </w:r>
      <w:r>
        <w:rPr>
          <w:rFonts w:cs="Arial"/>
          <w:lang w:val="en-US"/>
        </w:rPr>
        <w:t xml:space="preserve">the </w:t>
      </w:r>
      <w:r>
        <w:t>IOT</w:t>
      </w:r>
      <w:r w:rsidRPr="00F55529">
        <w:rPr>
          <w:rFonts w:cs="Arial"/>
          <w:lang w:val="en-US"/>
        </w:rPr>
        <w:t xml:space="preserve"> WI</w:t>
      </w:r>
      <w:r>
        <w:rPr>
          <w:rFonts w:cs="Arial"/>
          <w:lang w:val="en-US"/>
        </w:rPr>
        <w:t>.</w:t>
      </w:r>
    </w:p>
    <w:p w14:paraId="605D063B" w14:textId="0BF0160C" w:rsidR="00CB6273" w:rsidRPr="00F55529" w:rsidRDefault="00CB6273" w:rsidP="00F55529">
      <w:pPr>
        <w:rPr>
          <w:rFonts w:cs="Arial"/>
        </w:rPr>
      </w:pPr>
      <w:r>
        <w:rPr>
          <w:rFonts w:cs="Arial"/>
          <w:lang w:val="en-US"/>
        </w:rPr>
        <w:t xml:space="preserve">Based on above findings, it is enough for NR-U to use the same agreements as in the </w:t>
      </w:r>
      <w:r>
        <w:t>IOT</w:t>
      </w:r>
      <w:r w:rsidRPr="00F55529">
        <w:rPr>
          <w:rFonts w:cs="Arial"/>
          <w:lang w:val="en-US"/>
        </w:rPr>
        <w:t xml:space="preserve"> WI</w:t>
      </w:r>
      <w:r>
        <w:rPr>
          <w:rFonts w:cs="Arial"/>
          <w:lang w:val="en-US"/>
        </w:rPr>
        <w:t>.</w:t>
      </w:r>
      <w:r w:rsidR="007F7EA8">
        <w:rPr>
          <w:rFonts w:cs="Arial"/>
          <w:lang w:val="en-US"/>
        </w:rPr>
        <w:t xml:space="preserve"> </w:t>
      </w:r>
      <w:r w:rsidR="00A652A8">
        <w:rPr>
          <w:rFonts w:cs="Arial"/>
          <w:lang w:val="en-US"/>
        </w:rPr>
        <w:t>Therefore, no</w:t>
      </w:r>
      <w:r>
        <w:rPr>
          <w:rFonts w:cs="Arial"/>
          <w:lang w:val="en-US"/>
        </w:rPr>
        <w:t xml:space="preserve"> further standardization work is needed for NR-U with respect to activation and deactivation of CG configurations.</w:t>
      </w:r>
    </w:p>
    <w:p w14:paraId="7C813D32" w14:textId="2D783890" w:rsidR="00831D05" w:rsidRDefault="00CB6273" w:rsidP="00A1597A">
      <w:pPr>
        <w:pStyle w:val="Proposal"/>
      </w:pPr>
      <w:bookmarkStart w:id="25" w:name="_Toc23840841"/>
      <w:bookmarkStart w:id="26" w:name="_Toc23977438"/>
      <w:bookmarkStart w:id="27" w:name="_Toc23977522"/>
      <w:bookmarkStart w:id="28" w:name="_Toc23977602"/>
      <w:bookmarkStart w:id="29" w:name="_Toc23977656"/>
      <w:bookmarkStart w:id="30" w:name="_Toc23977881"/>
      <w:bookmarkStart w:id="31" w:name="_Toc24018855"/>
      <w:bookmarkStart w:id="32" w:name="_Toc24019412"/>
      <w:bookmarkStart w:id="33" w:name="_Toc24026843"/>
      <w:bookmarkStart w:id="34" w:name="_Toc24042263"/>
      <w:bookmarkStart w:id="35" w:name="_Toc24042305"/>
      <w:bookmarkStart w:id="36" w:name="_Toc24042624"/>
      <w:bookmarkStart w:id="37" w:name="_Toc24042823"/>
      <w:bookmarkStart w:id="38" w:name="_Toc24043201"/>
      <w:bookmarkStart w:id="39" w:name="_Toc29313669"/>
      <w:bookmarkStart w:id="40" w:name="_Toc29376293"/>
      <w:bookmarkStart w:id="41" w:name="_Toc29376306"/>
      <w:bookmarkStart w:id="42" w:name="_Toc29376385"/>
      <w:bookmarkStart w:id="43" w:name="_Toc29376459"/>
      <w:bookmarkStart w:id="44" w:name="_Toc31286496"/>
      <w:bookmarkStart w:id="45" w:name="_Toc32229464"/>
      <w:bookmarkStart w:id="46" w:name="_Toc32496957"/>
      <w:bookmarkStart w:id="47" w:name="_Toc32521256"/>
      <w:bookmarkStart w:id="48" w:name="_Toc32522035"/>
      <w:r>
        <w:t>It is left to IOT</w:t>
      </w:r>
      <w:r w:rsidRPr="00F55529">
        <w:rPr>
          <w:rFonts w:cs="Arial"/>
          <w:lang w:val="en-US"/>
        </w:rPr>
        <w:t xml:space="preserve"> WI</w:t>
      </w:r>
      <w:r>
        <w:rPr>
          <w:rFonts w:cs="Arial"/>
          <w:lang w:val="en-US"/>
        </w:rPr>
        <w:t xml:space="preserve"> to define activation and deactivation of CG configurations. No further work is needed for NR-U</w:t>
      </w:r>
      <w:r w:rsidR="009611B0">
        <w:rPr>
          <w:rFonts w:cs="Arial"/>
          <w:lang w:val="en-US"/>
        </w:rPr>
        <w:t xml:space="preserve"> in Rel-16</w:t>
      </w:r>
      <w:r w:rsidR="00370F18">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E722AB" w14:textId="6337AA98" w:rsidR="009F109E" w:rsidRDefault="009F109E" w:rsidP="009F109E">
      <w:pPr>
        <w:pStyle w:val="Heading2"/>
      </w:pPr>
      <w:r>
        <w:t xml:space="preserve">HARQ process handling </w:t>
      </w:r>
    </w:p>
    <w:p w14:paraId="23838F78" w14:textId="77777777" w:rsidR="00B86A05" w:rsidRDefault="00B86A05" w:rsidP="00B86A05">
      <w:pPr>
        <w:pStyle w:val="BodyText"/>
      </w:pPr>
      <w:r>
        <w:t xml:space="preserve">As agreed in RAN2#107bis, </w:t>
      </w:r>
    </w:p>
    <w:p w14:paraId="0923C5AA" w14:textId="77777777" w:rsidR="00B86A05" w:rsidRDefault="00B86A05" w:rsidP="00B86A05">
      <w:pPr>
        <w:pStyle w:val="Doc-text2"/>
        <w:numPr>
          <w:ilvl w:val="0"/>
          <w:numId w:val="19"/>
        </w:numPr>
        <w:pBdr>
          <w:top w:val="single" w:sz="4" w:space="1" w:color="auto"/>
          <w:left w:val="single" w:sz="4" w:space="4" w:color="auto"/>
          <w:bottom w:val="single" w:sz="4" w:space="1" w:color="auto"/>
          <w:right w:val="single" w:sz="4" w:space="4" w:color="auto"/>
        </w:pBdr>
      </w:pPr>
      <w:r>
        <w:t>Upon receiving CG activation command, stop the CG retransmission timer for HARQ processes configured for the CG</w:t>
      </w:r>
    </w:p>
    <w:p w14:paraId="3C62C0C8" w14:textId="2B0F0BE6" w:rsidR="00B86A05" w:rsidRDefault="00B86A05" w:rsidP="00B86A05">
      <w:r w:rsidRPr="00AE4BB3">
        <w:t>RAN2 is working on implementation of the above agreement in the running MAC spec CR.  There are some issues observed regarding UE behaviours</w:t>
      </w:r>
      <w:r w:rsidR="004D054B">
        <w:t xml:space="preserve"> of handling HARQ processes</w:t>
      </w:r>
      <w:r w:rsidRPr="00AE4BB3">
        <w:t xml:space="preserve"> when the UE has received a CG activation command.</w:t>
      </w:r>
    </w:p>
    <w:p w14:paraId="7B48454D" w14:textId="26AA74C3" w:rsidR="00E35BED" w:rsidRDefault="00E35BED" w:rsidP="00B86A05">
      <w:pPr>
        <w:rPr>
          <w:noProof/>
          <w:lang w:eastAsia="ko-KR"/>
        </w:rPr>
      </w:pPr>
      <w:r>
        <w:t>As highlighted in the MAC spec,</w:t>
      </w:r>
      <w:r w:rsidR="00257517">
        <w:t xml:space="preserve"> in NR Rel-15, the UE only </w:t>
      </w:r>
      <w:r w:rsidR="00257517">
        <w:rPr>
          <w:noProof/>
          <w:lang w:eastAsia="ko-KR"/>
        </w:rPr>
        <w:t xml:space="preserve">stops the </w:t>
      </w:r>
      <w:r w:rsidR="00257517">
        <w:rPr>
          <w:i/>
          <w:noProof/>
          <w:lang w:eastAsia="ko-KR"/>
        </w:rPr>
        <w:t>configuredGrantTimer</w:t>
      </w:r>
      <w:r w:rsidR="00257517">
        <w:rPr>
          <w:noProof/>
          <w:lang w:eastAsia="ko-KR"/>
        </w:rPr>
        <w:t xml:space="preserve"> for the corresponding HARQ process, </w:t>
      </w:r>
      <w:r w:rsidR="00257517">
        <w:t xml:space="preserve">upon reception of a DCI activation/re-activation command. Such behaviour is reasonable for Rel-15 UE, since the UE selects </w:t>
      </w:r>
      <w:r w:rsidR="00257517">
        <w:rPr>
          <w:noProof/>
          <w:lang w:eastAsia="ko-KR"/>
        </w:rPr>
        <w:t xml:space="preserve">the HARQ Process ID for a PUSCH according to the PUSCH transmission time, i.e.,the first symbol of the PUSCH transmission. In this case, a UE knows which HARQ process the DCI (re)activation command is addressing, i.e., the HARQ process associated with the first transmission occasion after the activation/re-activation. </w:t>
      </w:r>
    </w:p>
    <w:p w14:paraId="2526C086" w14:textId="77777777" w:rsidR="00FA5B34" w:rsidRDefault="00FA5B34" w:rsidP="00B86A05"/>
    <w:p w14:paraId="3A4D9383" w14:textId="12716238" w:rsidR="00E35BED" w:rsidRPr="00A22A68" w:rsidRDefault="00257517" w:rsidP="00A22A68">
      <w:pPr>
        <w:rPr>
          <w:rFonts w:ascii="Times New Roman" w:hAnsi="Times New Roman"/>
          <w:i/>
          <w:iCs/>
          <w:noProof/>
          <w:lang w:eastAsia="ko-KR"/>
        </w:rPr>
      </w:pPr>
      <w:r w:rsidRPr="00A22A68">
        <w:rPr>
          <w:i/>
          <w:iCs/>
        </w:rPr>
        <w:t xml:space="preserve">          </w:t>
      </w:r>
      <w:r w:rsidR="00E35BED" w:rsidRPr="00A22A68">
        <w:rPr>
          <w:rFonts w:ascii="Times New Roman" w:hAnsi="Times New Roman"/>
          <w:i/>
          <w:iCs/>
          <w:noProof/>
          <w:lang w:eastAsia="ko-KR"/>
        </w:rPr>
        <w:t>2&gt;</w:t>
      </w:r>
      <w:r w:rsidRPr="00A22A68">
        <w:rPr>
          <w:rFonts w:ascii="Times New Roman" w:hAnsi="Times New Roman"/>
          <w:i/>
          <w:iCs/>
          <w:noProof/>
          <w:lang w:eastAsia="ko-KR"/>
        </w:rPr>
        <w:t xml:space="preserve"> </w:t>
      </w:r>
      <w:r w:rsidR="00E35BED" w:rsidRPr="00A22A68">
        <w:rPr>
          <w:rFonts w:ascii="Times New Roman" w:hAnsi="Times New Roman"/>
          <w:i/>
          <w:iCs/>
          <w:noProof/>
          <w:lang w:eastAsia="ko-KR"/>
        </w:rPr>
        <w:t>else if the NDI in the received HARQ information is 0:</w:t>
      </w:r>
    </w:p>
    <w:p w14:paraId="4D20E606" w14:textId="77777777" w:rsidR="00E35BED" w:rsidRPr="00A22A68" w:rsidRDefault="00E35BED" w:rsidP="00E35BED">
      <w:pPr>
        <w:pStyle w:val="B3"/>
        <w:rPr>
          <w:rFonts w:ascii="Times New Roman" w:eastAsia="Times New Roman" w:hAnsi="Times New Roman" w:cs="Times New Roman"/>
          <w:i/>
          <w:iCs/>
          <w:noProof/>
          <w:sz w:val="20"/>
          <w:szCs w:val="20"/>
          <w:lang w:val="en-GB" w:eastAsia="ko-KR"/>
        </w:rPr>
      </w:pPr>
      <w:r w:rsidRPr="00A22A68">
        <w:rPr>
          <w:rFonts w:ascii="Times New Roman" w:eastAsia="Times New Roman" w:hAnsi="Times New Roman" w:cs="Times New Roman"/>
          <w:i/>
          <w:iCs/>
          <w:noProof/>
          <w:sz w:val="20"/>
          <w:szCs w:val="20"/>
          <w:lang w:val="en-GB" w:eastAsia="ko-KR"/>
        </w:rPr>
        <w:t>3&gt;</w:t>
      </w:r>
      <w:r w:rsidRPr="00A22A68">
        <w:rPr>
          <w:rFonts w:ascii="Times New Roman" w:eastAsia="Times New Roman" w:hAnsi="Times New Roman" w:cs="Times New Roman"/>
          <w:i/>
          <w:iCs/>
          <w:noProof/>
          <w:sz w:val="20"/>
          <w:szCs w:val="20"/>
          <w:lang w:val="en-GB" w:eastAsia="ko-KR"/>
        </w:rPr>
        <w:tab/>
        <w:t>if PDCCH contents indicate configured grant Type 2 deactivation:</w:t>
      </w:r>
    </w:p>
    <w:p w14:paraId="0225616E" w14:textId="77777777" w:rsidR="00E35BED" w:rsidRPr="00A22A68" w:rsidRDefault="00E35BED" w:rsidP="00E35BED">
      <w:pPr>
        <w:pStyle w:val="B4"/>
        <w:rPr>
          <w:i/>
          <w:iCs/>
          <w:noProof/>
          <w:lang w:eastAsia="ko-KR"/>
        </w:rPr>
      </w:pPr>
      <w:r w:rsidRPr="00A22A68">
        <w:rPr>
          <w:i/>
          <w:iCs/>
          <w:noProof/>
          <w:lang w:eastAsia="ko-KR"/>
        </w:rPr>
        <w:t>4&gt;</w:t>
      </w:r>
      <w:r w:rsidRPr="00A22A68">
        <w:rPr>
          <w:i/>
          <w:iCs/>
          <w:noProof/>
          <w:lang w:eastAsia="ko-KR"/>
        </w:rPr>
        <w:tab/>
        <w:t>trigger configured uplink grant confirmation.</w:t>
      </w:r>
    </w:p>
    <w:p w14:paraId="6F1765FE" w14:textId="77777777" w:rsidR="00E35BED" w:rsidRPr="00A22A68" w:rsidRDefault="00E35BED" w:rsidP="00E35BED">
      <w:pPr>
        <w:pStyle w:val="B3"/>
        <w:rPr>
          <w:rFonts w:ascii="Times New Roman" w:eastAsia="Times New Roman" w:hAnsi="Times New Roman" w:cs="Times New Roman"/>
          <w:i/>
          <w:iCs/>
          <w:noProof/>
          <w:sz w:val="20"/>
          <w:szCs w:val="20"/>
          <w:lang w:val="en-GB" w:eastAsia="ko-KR"/>
        </w:rPr>
      </w:pPr>
      <w:r w:rsidRPr="00A22A68">
        <w:rPr>
          <w:rFonts w:ascii="Times New Roman" w:eastAsia="Times New Roman" w:hAnsi="Times New Roman" w:cs="Times New Roman"/>
          <w:i/>
          <w:iCs/>
          <w:noProof/>
          <w:sz w:val="20"/>
          <w:szCs w:val="20"/>
          <w:lang w:val="en-GB" w:eastAsia="ko-KR"/>
        </w:rPr>
        <w:t>3&gt;</w:t>
      </w:r>
      <w:r w:rsidRPr="00A22A68">
        <w:rPr>
          <w:rFonts w:ascii="Times New Roman" w:eastAsia="Times New Roman" w:hAnsi="Times New Roman" w:cs="Times New Roman"/>
          <w:i/>
          <w:iCs/>
          <w:noProof/>
          <w:sz w:val="20"/>
          <w:szCs w:val="20"/>
          <w:lang w:val="en-GB" w:eastAsia="ko-KR"/>
        </w:rPr>
        <w:tab/>
        <w:t>else if PDCCH contents indicate configured grant Type 2 activation:</w:t>
      </w:r>
    </w:p>
    <w:p w14:paraId="6FB0A17B" w14:textId="77777777" w:rsidR="00E35BED" w:rsidRPr="00A22A68" w:rsidRDefault="00E35BED" w:rsidP="00E35BED">
      <w:pPr>
        <w:pStyle w:val="B4"/>
        <w:rPr>
          <w:i/>
          <w:iCs/>
          <w:noProof/>
          <w:lang w:eastAsia="ko-KR"/>
        </w:rPr>
      </w:pPr>
      <w:r w:rsidRPr="00A22A68">
        <w:rPr>
          <w:i/>
          <w:iCs/>
          <w:noProof/>
          <w:lang w:eastAsia="ko-KR"/>
        </w:rPr>
        <w:t>4&gt;</w:t>
      </w:r>
      <w:r w:rsidRPr="00A22A68">
        <w:rPr>
          <w:i/>
          <w:iCs/>
          <w:noProof/>
          <w:lang w:eastAsia="ko-KR"/>
        </w:rPr>
        <w:tab/>
        <w:t>trigger configured uplink grant confirmation;</w:t>
      </w:r>
    </w:p>
    <w:p w14:paraId="662FE54A" w14:textId="77777777" w:rsidR="00E35BED" w:rsidRPr="00A22A68" w:rsidRDefault="00E35BED" w:rsidP="00E35BED">
      <w:pPr>
        <w:pStyle w:val="B4"/>
        <w:rPr>
          <w:i/>
          <w:iCs/>
          <w:noProof/>
          <w:lang w:eastAsia="ko-KR"/>
        </w:rPr>
      </w:pPr>
      <w:r w:rsidRPr="00A22A68">
        <w:rPr>
          <w:i/>
          <w:iCs/>
          <w:noProof/>
          <w:lang w:eastAsia="ko-KR"/>
        </w:rPr>
        <w:t>4&gt;</w:t>
      </w:r>
      <w:r w:rsidRPr="00A22A68">
        <w:rPr>
          <w:i/>
          <w:iCs/>
          <w:noProof/>
          <w:lang w:eastAsia="ko-KR"/>
        </w:rPr>
        <w:tab/>
        <w:t>store the uplink grant for this Serving Cell and the associated HARQ information as configured uplink grant;</w:t>
      </w:r>
    </w:p>
    <w:p w14:paraId="567C4097" w14:textId="77777777" w:rsidR="00E35BED" w:rsidRPr="00A22A68" w:rsidRDefault="00E35BED" w:rsidP="00E35BED">
      <w:pPr>
        <w:pStyle w:val="B4"/>
        <w:rPr>
          <w:i/>
          <w:iCs/>
          <w:noProof/>
          <w:lang w:eastAsia="ko-KR"/>
        </w:rPr>
      </w:pPr>
      <w:r w:rsidRPr="00A22A68">
        <w:rPr>
          <w:i/>
          <w:iCs/>
          <w:noProof/>
          <w:lang w:eastAsia="ko-KR"/>
        </w:rPr>
        <w:t>4&gt;</w:t>
      </w:r>
      <w:r w:rsidRPr="00A22A68">
        <w:rPr>
          <w:i/>
          <w:iCs/>
          <w:noProof/>
          <w:lang w:eastAsia="ko-KR"/>
        </w:rPr>
        <w:tab/>
        <w:t>initialise or re-initialise the configured uplink grant for this Serving Cell to start in the associated PUSCH duration and to recur according to rules in clause 5.8.2;</w:t>
      </w:r>
    </w:p>
    <w:p w14:paraId="77C6D298" w14:textId="77777777" w:rsidR="00E35BED" w:rsidRPr="00A22A68" w:rsidRDefault="00E35BED" w:rsidP="00E35BED">
      <w:pPr>
        <w:pStyle w:val="B4"/>
        <w:rPr>
          <w:i/>
          <w:iCs/>
          <w:noProof/>
          <w:lang w:eastAsia="ko-KR"/>
        </w:rPr>
      </w:pPr>
      <w:r w:rsidRPr="00A22A68">
        <w:rPr>
          <w:i/>
          <w:iCs/>
          <w:noProof/>
          <w:lang w:eastAsia="ko-KR"/>
        </w:rPr>
        <w:t>4&gt;</w:t>
      </w:r>
      <w:r w:rsidRPr="00A22A68">
        <w:rPr>
          <w:i/>
          <w:iCs/>
          <w:noProof/>
          <w:lang w:eastAsia="ko-KR"/>
        </w:rPr>
        <w:tab/>
        <w:t xml:space="preserve">stop the configuredGrantTimer for the </w:t>
      </w:r>
      <w:r w:rsidRPr="00A22A68">
        <w:rPr>
          <w:i/>
          <w:iCs/>
          <w:noProof/>
          <w:highlight w:val="yellow"/>
          <w:lang w:eastAsia="ko-KR"/>
        </w:rPr>
        <w:t>corresponding</w:t>
      </w:r>
      <w:r w:rsidRPr="00A22A68">
        <w:rPr>
          <w:i/>
          <w:iCs/>
          <w:noProof/>
          <w:lang w:eastAsia="ko-KR"/>
        </w:rPr>
        <w:t xml:space="preserve"> HARQ process, if running;</w:t>
      </w:r>
    </w:p>
    <w:p w14:paraId="218A0715" w14:textId="77777777" w:rsidR="00E35BED" w:rsidRPr="00A22A68" w:rsidRDefault="00E35BED" w:rsidP="00E35BED">
      <w:pPr>
        <w:pStyle w:val="B4"/>
        <w:rPr>
          <w:i/>
          <w:iCs/>
          <w:noProof/>
          <w:lang w:eastAsia="ko-KR"/>
        </w:rPr>
      </w:pPr>
      <w:r w:rsidRPr="00A22A68">
        <w:rPr>
          <w:i/>
          <w:iCs/>
          <w:noProof/>
          <w:lang w:eastAsia="ko-KR"/>
        </w:rPr>
        <w:t>4&gt;</w:t>
      </w:r>
      <w:r w:rsidRPr="00A22A68">
        <w:rPr>
          <w:i/>
          <w:iCs/>
          <w:noProof/>
          <w:lang w:eastAsia="ko-KR"/>
        </w:rPr>
        <w:tab/>
        <w:t xml:space="preserve">stop the cg-RetransmissionTimer for the </w:t>
      </w:r>
      <w:r w:rsidRPr="00A22A68">
        <w:rPr>
          <w:i/>
          <w:iCs/>
          <w:noProof/>
          <w:highlight w:val="yellow"/>
          <w:lang w:eastAsia="ko-KR"/>
        </w:rPr>
        <w:t xml:space="preserve">correponding </w:t>
      </w:r>
      <w:r w:rsidRPr="00A22A68">
        <w:rPr>
          <w:i/>
          <w:iCs/>
          <w:noProof/>
          <w:lang w:eastAsia="ko-KR"/>
        </w:rPr>
        <w:t>HARQ process, if running.</w:t>
      </w:r>
    </w:p>
    <w:p w14:paraId="2F398B44" w14:textId="77777777" w:rsidR="00257517" w:rsidRDefault="00257517" w:rsidP="00257517">
      <w:pPr>
        <w:rPr>
          <w:noProof/>
          <w:lang w:eastAsia="ko-KR"/>
        </w:rPr>
      </w:pPr>
    </w:p>
    <w:p w14:paraId="42AC22B2" w14:textId="60F1BF8A" w:rsidR="00FC068E" w:rsidRDefault="00FC068E" w:rsidP="00FC068E">
      <w:r>
        <w:t xml:space="preserve">Determining which is the “corresponding HARQ process” is important from an operational point of view, since the UE will </w:t>
      </w:r>
      <w:r w:rsidR="005B236A">
        <w:t xml:space="preserve">then </w:t>
      </w:r>
      <w:r>
        <w:t>flush the buffer related to this HARQ process</w:t>
      </w:r>
      <w:r w:rsidR="009E6500">
        <w:t xml:space="preserve">. </w:t>
      </w:r>
      <w:r w:rsidR="00F371F9">
        <w:t>In legacy</w:t>
      </w:r>
      <w:r w:rsidR="00CE7C1B">
        <w:t>, t</w:t>
      </w:r>
      <w:r w:rsidR="0066608B">
        <w:t xml:space="preserve">hat is needed because in this way </w:t>
      </w:r>
      <w:r w:rsidR="0066608B">
        <w:lastRenderedPageBreak/>
        <w:t>the UE can immediately send a new MAC PDU containing the confirmation MAC CE in the first configured grant occasion.</w:t>
      </w:r>
    </w:p>
    <w:p w14:paraId="60BBE3A6" w14:textId="77777777" w:rsidR="00FC068E" w:rsidRPr="007D737E" w:rsidRDefault="00FC068E" w:rsidP="00FC068E">
      <w:pPr>
        <w:pStyle w:val="B2"/>
        <w:rPr>
          <w:rFonts w:ascii="Times New Roman" w:eastAsia="Times New Roman" w:hAnsi="Times New Roman" w:cs="Times New Roman"/>
          <w:noProof/>
          <w:sz w:val="20"/>
          <w:szCs w:val="20"/>
          <w:lang w:val="en-GB" w:eastAsia="ko-KR"/>
        </w:rPr>
      </w:pPr>
      <w:r w:rsidRPr="007D737E">
        <w:rPr>
          <w:rFonts w:ascii="Times New Roman" w:eastAsia="Times New Roman" w:hAnsi="Times New Roman" w:cs="Times New Roman"/>
          <w:noProof/>
          <w:sz w:val="20"/>
          <w:szCs w:val="20"/>
          <w:lang w:val="en-GB" w:eastAsia="ko-KR"/>
        </w:rPr>
        <w:t>2&gt;</w:t>
      </w:r>
      <w:r w:rsidRPr="007D737E">
        <w:rPr>
          <w:rFonts w:ascii="Times New Roman" w:eastAsia="Times New Roman" w:hAnsi="Times New Roman" w:cs="Times New Roman"/>
          <w:noProof/>
          <w:sz w:val="20"/>
          <w:szCs w:val="20"/>
          <w:lang w:val="en-GB" w:eastAsia="ko-KR"/>
        </w:rPr>
        <w:tab/>
        <w:t>if, for the corresponding HARQ process, the configuredGrantTimer is not running and cg-RetransmissionTimer is not configured (i.e. new transmission):</w:t>
      </w:r>
    </w:p>
    <w:p w14:paraId="2319411B" w14:textId="77777777" w:rsidR="00FC068E" w:rsidRPr="007D737E" w:rsidRDefault="00FC068E" w:rsidP="00FC068E">
      <w:pPr>
        <w:pStyle w:val="B3"/>
        <w:rPr>
          <w:rFonts w:ascii="Times New Roman" w:eastAsia="Times New Roman" w:hAnsi="Times New Roman" w:cs="Times New Roman"/>
          <w:noProof/>
          <w:sz w:val="20"/>
          <w:szCs w:val="20"/>
          <w:lang w:val="en-GB" w:eastAsia="ko-KR"/>
        </w:rPr>
      </w:pPr>
      <w:r w:rsidRPr="007D737E">
        <w:rPr>
          <w:rFonts w:ascii="Times New Roman" w:eastAsia="Times New Roman" w:hAnsi="Times New Roman" w:cs="Times New Roman"/>
          <w:noProof/>
          <w:sz w:val="20"/>
          <w:szCs w:val="20"/>
          <w:lang w:val="en-GB" w:eastAsia="ko-KR"/>
        </w:rPr>
        <w:t>3&gt;</w:t>
      </w:r>
      <w:r w:rsidRPr="007D737E">
        <w:rPr>
          <w:rFonts w:ascii="Times New Roman" w:eastAsia="Times New Roman" w:hAnsi="Times New Roman" w:cs="Times New Roman"/>
          <w:noProof/>
          <w:sz w:val="20"/>
          <w:szCs w:val="20"/>
          <w:lang w:val="en-GB" w:eastAsia="ko-KR"/>
        </w:rPr>
        <w:tab/>
        <w:t>consider the NDI bit for the corresponding HARQ process to have been toggled;</w:t>
      </w:r>
    </w:p>
    <w:p w14:paraId="1AE36E92" w14:textId="77777777" w:rsidR="00FC068E" w:rsidRPr="007D737E" w:rsidRDefault="00FC068E" w:rsidP="00FC068E">
      <w:pPr>
        <w:pStyle w:val="B3"/>
        <w:rPr>
          <w:rFonts w:ascii="Times New Roman" w:eastAsia="Times New Roman" w:hAnsi="Times New Roman" w:cs="Times New Roman"/>
          <w:noProof/>
          <w:sz w:val="20"/>
          <w:szCs w:val="20"/>
          <w:lang w:val="en-GB" w:eastAsia="ko-KR"/>
        </w:rPr>
      </w:pPr>
      <w:r w:rsidRPr="007D737E">
        <w:rPr>
          <w:rFonts w:ascii="Times New Roman" w:eastAsia="Times New Roman" w:hAnsi="Times New Roman" w:cs="Times New Roman"/>
          <w:noProof/>
          <w:sz w:val="20"/>
          <w:szCs w:val="20"/>
          <w:lang w:val="en-GB" w:eastAsia="ko-KR"/>
        </w:rPr>
        <w:t>3&gt;</w:t>
      </w:r>
      <w:r w:rsidRPr="007D737E">
        <w:rPr>
          <w:rFonts w:ascii="Times New Roman" w:eastAsia="Times New Roman" w:hAnsi="Times New Roman" w:cs="Times New Roman"/>
          <w:noProof/>
          <w:sz w:val="20"/>
          <w:szCs w:val="20"/>
          <w:lang w:val="en-GB" w:eastAsia="ko-KR"/>
        </w:rPr>
        <w:tab/>
        <w:t>deliver the configured uplink grant and the associated HARQ information to the HARQ entity.</w:t>
      </w:r>
    </w:p>
    <w:p w14:paraId="348DE58D" w14:textId="77777777" w:rsidR="00FC068E" w:rsidRDefault="00FC068E" w:rsidP="00FC068E">
      <w:pPr>
        <w:pStyle w:val="Observation"/>
        <w:numPr>
          <w:ilvl w:val="0"/>
          <w:numId w:val="0"/>
        </w:numPr>
        <w:ind w:left="360" w:hanging="360"/>
      </w:pPr>
    </w:p>
    <w:p w14:paraId="76978E43" w14:textId="745B0368" w:rsidR="00257517" w:rsidRDefault="00257517" w:rsidP="00A22A68">
      <w:pPr>
        <w:pStyle w:val="Observation"/>
        <w:ind w:left="1701" w:hanging="1701"/>
      </w:pPr>
      <w:bookmarkStart w:id="49" w:name="_Ref32419548"/>
      <w:bookmarkStart w:id="50" w:name="_Toc32496953"/>
      <w:bookmarkStart w:id="51" w:name="_Toc32498488"/>
      <w:bookmarkStart w:id="52" w:name="_Toc32508391"/>
      <w:bookmarkStart w:id="53" w:name="_Toc32521252"/>
      <w:bookmarkStart w:id="54" w:name="_Toc32522031"/>
      <w:r>
        <w:t xml:space="preserve">In NR Rel-15, the UE stops the CGT timer for the corresponding HARQ process, </w:t>
      </w:r>
      <w:r>
        <w:rPr>
          <w:noProof/>
          <w:lang w:eastAsia="ko-KR"/>
        </w:rPr>
        <w:t>i.e., the HARQ process associated with the first transmission occasion after the activation/re-activation</w:t>
      </w:r>
      <w:r w:rsidR="005D42C6">
        <w:rPr>
          <w:noProof/>
          <w:lang w:eastAsia="ko-KR"/>
        </w:rPr>
        <w:t>, and flush the corresponding HARQ buffer</w:t>
      </w:r>
      <w:r w:rsidR="006F1244">
        <w:rPr>
          <w:noProof/>
          <w:lang w:eastAsia="ko-KR"/>
        </w:rPr>
        <w:t>. That allows the UE to</w:t>
      </w:r>
      <w:r w:rsidR="005D42C6">
        <w:rPr>
          <w:noProof/>
          <w:lang w:eastAsia="ko-KR"/>
        </w:rPr>
        <w:t xml:space="preserve"> immediately send</w:t>
      </w:r>
      <w:r w:rsidR="00A45F62">
        <w:rPr>
          <w:noProof/>
          <w:lang w:eastAsia="ko-KR"/>
        </w:rPr>
        <w:t>,</w:t>
      </w:r>
      <w:r w:rsidR="005D42C6">
        <w:rPr>
          <w:noProof/>
          <w:lang w:eastAsia="ko-KR"/>
        </w:rPr>
        <w:t xml:space="preserve"> at the fist configured grant occasion</w:t>
      </w:r>
      <w:r w:rsidR="00A45F62">
        <w:rPr>
          <w:noProof/>
          <w:lang w:eastAsia="ko-KR"/>
        </w:rPr>
        <w:t>, a new MAC PDU containing the confirmation MAC CE.</w:t>
      </w:r>
      <w:bookmarkEnd w:id="49"/>
      <w:bookmarkEnd w:id="50"/>
      <w:bookmarkEnd w:id="51"/>
      <w:bookmarkEnd w:id="52"/>
      <w:bookmarkEnd w:id="53"/>
      <w:bookmarkEnd w:id="54"/>
      <w:r w:rsidR="005D42C6">
        <w:rPr>
          <w:noProof/>
          <w:lang w:eastAsia="ko-KR"/>
        </w:rPr>
        <w:t xml:space="preserve"> </w:t>
      </w:r>
    </w:p>
    <w:p w14:paraId="5D499ED4" w14:textId="75804123" w:rsidR="00AD3FAC" w:rsidRPr="00E65CBD" w:rsidRDefault="00AE4BB3" w:rsidP="00E65CBD">
      <w:r w:rsidRPr="00AD3FAC">
        <w:t>F</w:t>
      </w:r>
      <w:r w:rsidRPr="00E65CBD">
        <w:t xml:space="preserve">or a CG configuration with the CGRT timer configured, it is </w:t>
      </w:r>
      <w:r w:rsidR="00581CD0">
        <w:t>questionable how to</w:t>
      </w:r>
      <w:r w:rsidRPr="00E65CBD">
        <w:t xml:space="preserve"> handle the CGRT</w:t>
      </w:r>
      <w:r w:rsidR="009733CD">
        <w:t>/CGT</w:t>
      </w:r>
      <w:r w:rsidRPr="00E65CBD">
        <w:t xml:space="preserve"> timers upon reception of a DCI activation/re-activation command, since </w:t>
      </w:r>
      <w:r w:rsidR="00772AF8">
        <w:t>the selection of the HARQ process to transmit is up to UE implementation</w:t>
      </w:r>
      <w:r w:rsidR="00772AF8" w:rsidRPr="00E65CBD">
        <w:t xml:space="preserve"> </w:t>
      </w:r>
      <w:r w:rsidR="00772AF8">
        <w:t xml:space="preserve">and </w:t>
      </w:r>
      <w:r w:rsidRPr="00E65CBD">
        <w:t>there is no such a specific HARQ process which can be associated with the first transmission occasion after the activation/re-activation</w:t>
      </w:r>
      <w:r w:rsidR="00772AF8">
        <w:t>.</w:t>
      </w:r>
    </w:p>
    <w:p w14:paraId="3339921D" w14:textId="23280DD3" w:rsidR="00B92E4D" w:rsidRPr="007D737E" w:rsidRDefault="003079FE" w:rsidP="00A22A68">
      <w:pPr>
        <w:rPr>
          <w:rFonts w:ascii="Times New Roman" w:hAnsi="Times New Roman"/>
          <w:noProof/>
          <w:lang w:eastAsia="ko-KR"/>
        </w:rPr>
      </w:pPr>
      <w:r>
        <w:t>Therefore</w:t>
      </w:r>
      <w:r w:rsidR="006B3282">
        <w:t>, when it comes to</w:t>
      </w:r>
      <w:r w:rsidR="006A55DA">
        <w:t xml:space="preserve"> configured UL grant operations in unlicensed spectrum, it is not clear wh</w:t>
      </w:r>
      <w:r w:rsidR="00213979">
        <w:t>ich</w:t>
      </w:r>
      <w:r w:rsidR="006A55DA">
        <w:t xml:space="preserve"> is the corresponding HARQ process</w:t>
      </w:r>
      <w:r w:rsidR="00E35BED">
        <w:t xml:space="preserve">. </w:t>
      </w:r>
    </w:p>
    <w:p w14:paraId="1B1ADBC3" w14:textId="47F41495" w:rsidR="00AE4BB3" w:rsidRPr="00453F6D" w:rsidRDefault="001E6E31" w:rsidP="00AE4BB3">
      <w:pPr>
        <w:pStyle w:val="Observation"/>
        <w:ind w:left="1701" w:hanging="1701"/>
      </w:pPr>
      <w:bookmarkStart w:id="55" w:name="_Toc32390536"/>
      <w:bookmarkStart w:id="56" w:name="_Toc31286494"/>
      <w:bookmarkStart w:id="57" w:name="_Toc32496954"/>
      <w:bookmarkStart w:id="58" w:name="_Toc32498489"/>
      <w:bookmarkStart w:id="59" w:name="_Toc32508392"/>
      <w:bookmarkStart w:id="60" w:name="_Toc32521253"/>
      <w:bookmarkStart w:id="61" w:name="_Toc32522032"/>
      <w:r>
        <w:t>Due to the nature of configured UL grant operations in unlicensed spectrum, it is not clear which is the “corresponding HARQ process”</w:t>
      </w:r>
      <w:r w:rsidR="00F162E0">
        <w:t xml:space="preserve"> </w:t>
      </w:r>
      <w:r w:rsidR="004F2C9A">
        <w:t>to which</w:t>
      </w:r>
      <w:r w:rsidR="00F162E0">
        <w:t xml:space="preserve"> </w:t>
      </w:r>
      <w:r w:rsidR="00EB4F1B">
        <w:t xml:space="preserve">a DCI (re)activation command </w:t>
      </w:r>
      <w:r w:rsidR="004F2C9A">
        <w:t>refers to</w:t>
      </w:r>
      <w:r w:rsidR="00EB4F1B">
        <w:t>.</w:t>
      </w:r>
      <w:bookmarkEnd w:id="55"/>
      <w:bookmarkEnd w:id="56"/>
      <w:bookmarkEnd w:id="57"/>
      <w:bookmarkEnd w:id="58"/>
      <w:bookmarkEnd w:id="59"/>
      <w:bookmarkEnd w:id="60"/>
      <w:bookmarkEnd w:id="61"/>
    </w:p>
    <w:p w14:paraId="5637251D" w14:textId="2DD253AE" w:rsidR="00664551" w:rsidRDefault="00B92E4D" w:rsidP="00B10F81">
      <w:pPr>
        <w:jc w:val="left"/>
      </w:pPr>
      <w:r>
        <w:t xml:space="preserve">In one option, it could be left to UE implementation to determine which is this corresponding HARQ process. However, we believe that this might not be correct. In fact, </w:t>
      </w:r>
      <w:r w:rsidR="002B51D8">
        <w:t xml:space="preserve">unlike legacy operations, the configured grant </w:t>
      </w:r>
      <w:r w:rsidR="00EB4549">
        <w:t xml:space="preserve">can be used by the UE also to perform retransmissions, and </w:t>
      </w:r>
      <w:r w:rsidR="00FE2375">
        <w:t>since RAN2 agreed that the UE shall prioritize</w:t>
      </w:r>
      <w:r w:rsidR="00ED1A79">
        <w:t xml:space="preserve"> retransmissions </w:t>
      </w:r>
      <w:r w:rsidR="00EB4549">
        <w:t>over new transmission</w:t>
      </w:r>
      <w:r w:rsidR="000175C5">
        <w:t>s</w:t>
      </w:r>
      <w:r w:rsidR="00EB4549">
        <w:t xml:space="preserve"> </w:t>
      </w:r>
      <w:r w:rsidR="00ED1A79">
        <w:t>when selecting an HARQ process</w:t>
      </w:r>
      <w:r w:rsidR="00016203">
        <w:t xml:space="preserve">, </w:t>
      </w:r>
      <w:r w:rsidR="00EB4549">
        <w:t xml:space="preserve">the issue is when </w:t>
      </w:r>
      <w:r w:rsidR="00016203">
        <w:t>the MAC CE confi</w:t>
      </w:r>
      <w:r w:rsidR="00263718">
        <w:t xml:space="preserve">rmation </w:t>
      </w:r>
      <w:r w:rsidR="00EB4549">
        <w:t xml:space="preserve">will be sent. </w:t>
      </w:r>
      <w:r w:rsidR="00304C1C">
        <w:br/>
      </w:r>
      <w:r w:rsidR="00EB4549">
        <w:t xml:space="preserve">As observed in </w:t>
      </w:r>
      <w:r w:rsidR="008043AD">
        <w:fldChar w:fldCharType="begin"/>
      </w:r>
      <w:r w:rsidR="008043AD">
        <w:instrText xml:space="preserve"> REF _Ref32419548 \r \h </w:instrText>
      </w:r>
      <w:r w:rsidR="008043AD">
        <w:fldChar w:fldCharType="separate"/>
      </w:r>
      <w:r w:rsidR="00C26332">
        <w:t>Observation 3</w:t>
      </w:r>
      <w:r w:rsidR="008043AD">
        <w:fldChar w:fldCharType="end"/>
      </w:r>
      <w:r w:rsidR="008043AD">
        <w:t xml:space="preserve">, in legacy the UE will for sure send the confirmation MAC CE </w:t>
      </w:r>
      <w:r w:rsidR="00211051">
        <w:t xml:space="preserve">immediately after the DCI (re)activation command, i.e. </w:t>
      </w:r>
      <w:r w:rsidR="008043AD">
        <w:t>at the first configured grant occasion</w:t>
      </w:r>
      <w:r w:rsidR="00304F9F">
        <w:t xml:space="preserve">, but this </w:t>
      </w:r>
      <w:r w:rsidR="008A23E5">
        <w:t xml:space="preserve">apparently </w:t>
      </w:r>
      <w:r w:rsidR="00304F9F">
        <w:t>will not be the c</w:t>
      </w:r>
      <w:r w:rsidR="00DF394E">
        <w:t xml:space="preserve">ase in unlicensed operations. Such functional changes compared with legacy does not seem </w:t>
      </w:r>
      <w:r w:rsidR="000F76F8">
        <w:t xml:space="preserve">to be </w:t>
      </w:r>
      <w:r w:rsidR="00DF394E">
        <w:t>motivated</w:t>
      </w:r>
      <w:r w:rsidR="003C2A1E">
        <w:t>, because the MAC CE transmissions will be delayed</w:t>
      </w:r>
      <w:r w:rsidR="000F76F8">
        <w:t xml:space="preserve">. </w:t>
      </w:r>
      <w:r w:rsidR="0074756D">
        <w:t>Therefore, t</w:t>
      </w:r>
      <w:r w:rsidR="000F76F8">
        <w:t>o avoid this issue</w:t>
      </w:r>
      <w:r w:rsidR="008A23E5">
        <w:t xml:space="preserve">, RAN2 </w:t>
      </w:r>
      <w:r w:rsidR="009E49DC">
        <w:t>would need to specify</w:t>
      </w:r>
      <w:r w:rsidR="00486C5C">
        <w:t xml:space="preserve"> </w:t>
      </w:r>
      <w:r w:rsidR="00AD1838">
        <w:t xml:space="preserve">that the UE shall prioritize </w:t>
      </w:r>
      <w:r w:rsidR="00C60E7B">
        <w:t xml:space="preserve">the </w:t>
      </w:r>
      <w:r w:rsidR="0051282F">
        <w:t>new transmission</w:t>
      </w:r>
      <w:r w:rsidR="00C60E7B">
        <w:t xml:space="preserve"> (containing the MAC CE confirmation)</w:t>
      </w:r>
      <w:r w:rsidR="00C21057">
        <w:t xml:space="preserve"> over retransmissions upon reception of the DCI (re)activation</w:t>
      </w:r>
      <w:r w:rsidR="00B432DF">
        <w:t xml:space="preserve"> command</w:t>
      </w:r>
      <w:r w:rsidR="009D0D44">
        <w:t>.</w:t>
      </w:r>
      <w:r w:rsidR="00DB00A9">
        <w:t xml:space="preserve"> </w:t>
      </w:r>
      <w:r w:rsidR="00B3550C">
        <w:br/>
        <w:t>Additionally,</w:t>
      </w:r>
      <w:r w:rsidR="00020638">
        <w:t xml:space="preserve"> even assuming that only one HARQ process</w:t>
      </w:r>
      <w:r w:rsidR="00BA34F2">
        <w:t xml:space="preserve"> (</w:t>
      </w:r>
      <w:r w:rsidR="00020638">
        <w:t>up to UE implementation</w:t>
      </w:r>
      <w:r w:rsidR="00BA34F2">
        <w:t xml:space="preserve"> which one)</w:t>
      </w:r>
      <w:r w:rsidR="00020638">
        <w:t xml:space="preserve"> is flushed, it remains the issue</w:t>
      </w:r>
      <w:r w:rsidR="00BA34F2">
        <w:t xml:space="preserve"> of what happens to the other HARQ process</w:t>
      </w:r>
      <w:r w:rsidR="008E4127">
        <w:t>es</w:t>
      </w:r>
      <w:r w:rsidR="00084C99">
        <w:t xml:space="preserve">. </w:t>
      </w:r>
      <w:r w:rsidR="00FE1CF2">
        <w:t xml:space="preserve">In fact, </w:t>
      </w:r>
      <w:r w:rsidR="00C90BC3">
        <w:t>after (re)activation</w:t>
      </w:r>
      <w:r w:rsidR="00E627EC">
        <w:t>,</w:t>
      </w:r>
      <w:r w:rsidR="00C90BC3">
        <w:t xml:space="preserve"> </w:t>
      </w:r>
      <w:r w:rsidR="00FB5E70">
        <w:t>those HARQ processes might not fit anymore into the</w:t>
      </w:r>
      <w:r w:rsidR="00D3703A">
        <w:t xml:space="preserve"> </w:t>
      </w:r>
      <w:r w:rsidR="00C90BC3">
        <w:t>grant size</w:t>
      </w:r>
      <w:r w:rsidR="00D3703A">
        <w:t xml:space="preserve"> of the newly (re)activated configured UL grant.</w:t>
      </w:r>
      <w:r w:rsidR="00C90BC3">
        <w:t xml:space="preserve"> </w:t>
      </w:r>
      <w:r w:rsidR="00C95D29">
        <w:t>So it will not be possible for the UE to flush those HARQ processes until CGT expires.</w:t>
      </w:r>
      <w:r w:rsidR="000F5D6E">
        <w:t xml:space="preserve"> We note that this problem does not exist in legacy because</w:t>
      </w:r>
      <w:r w:rsidR="00624337">
        <w:t>, unlike NR-U,</w:t>
      </w:r>
      <w:r w:rsidR="000F5D6E">
        <w:t xml:space="preserve"> the configured UL grant </w:t>
      </w:r>
      <w:r w:rsidR="00C959C4">
        <w:t>can only convey new transmissions</w:t>
      </w:r>
      <w:r w:rsidR="00AC23F6">
        <w:t xml:space="preserve">, while retransmissions are always dynamically scheduled. Therefore, to avoid this issue, </w:t>
      </w:r>
      <w:r w:rsidR="00624337">
        <w:t xml:space="preserve">we would need </w:t>
      </w:r>
      <w:r w:rsidR="00B10F81">
        <w:t xml:space="preserve">to modify to normal NR-U operations and </w:t>
      </w:r>
      <w:r w:rsidR="002F4FEF">
        <w:t>specify that</w:t>
      </w:r>
      <w:r w:rsidR="00E55027">
        <w:t xml:space="preserve"> u</w:t>
      </w:r>
      <w:r w:rsidR="00AC3DCD">
        <w:t>pon</w:t>
      </w:r>
      <w:r w:rsidR="00E55027">
        <w:t xml:space="preserve"> reception of</w:t>
      </w:r>
      <w:r w:rsidR="00AC3DCD">
        <w:t xml:space="preserve"> DCI</w:t>
      </w:r>
      <w:r w:rsidR="004D1547">
        <w:t xml:space="preserve"> (re)activation command</w:t>
      </w:r>
      <w:r w:rsidR="00585CEB">
        <w:t xml:space="preserve">, the usage of configured UL grant is restricted to only new transmissions, and </w:t>
      </w:r>
      <w:r w:rsidR="00712AA0">
        <w:t>retransmissions are dynamically scheduled.</w:t>
      </w:r>
    </w:p>
    <w:p w14:paraId="719D10D2" w14:textId="0EA1309D" w:rsidR="000A1DC5" w:rsidRDefault="000A1DC5" w:rsidP="00703544">
      <w:pPr>
        <w:pStyle w:val="Observation"/>
      </w:pPr>
      <w:bookmarkStart w:id="62" w:name="_Toc32496955"/>
      <w:bookmarkStart w:id="63" w:name="_Toc32498490"/>
      <w:bookmarkStart w:id="64" w:name="_Toc32508393"/>
      <w:bookmarkStart w:id="65" w:name="_Toc32521254"/>
      <w:bookmarkStart w:id="66" w:name="_Toc32522033"/>
      <w:r>
        <w:t>Leaving to UE implementation the selection of the “corresponding HARQ process”</w:t>
      </w:r>
      <w:r w:rsidR="0003216E">
        <w:t xml:space="preserve"> upon reception of the DCI (re)activation command</w:t>
      </w:r>
      <w:r>
        <w:t xml:space="preserve"> </w:t>
      </w:r>
      <w:r w:rsidR="0017334F">
        <w:t>might imply the need to specify new UE behaviour</w:t>
      </w:r>
      <w:r w:rsidR="00AA4CC8">
        <w:t>s, in order to allow prompt transmission of the confirmation MAC CE, and</w:t>
      </w:r>
      <w:r w:rsidR="0003216E">
        <w:t xml:space="preserve"> to handle HARQ retransmissions</w:t>
      </w:r>
      <w:r w:rsidR="00250370">
        <w:t>.</w:t>
      </w:r>
      <w:bookmarkEnd w:id="62"/>
      <w:bookmarkEnd w:id="63"/>
      <w:bookmarkEnd w:id="64"/>
      <w:bookmarkEnd w:id="65"/>
      <w:bookmarkEnd w:id="66"/>
    </w:p>
    <w:p w14:paraId="27C8F195" w14:textId="64F1297F" w:rsidR="00262EA9" w:rsidRDefault="007D737E" w:rsidP="002B4422">
      <w:r>
        <w:t>Therefore</w:t>
      </w:r>
      <w:r w:rsidR="00B22857">
        <w:t xml:space="preserve">, </w:t>
      </w:r>
      <w:r w:rsidR="007074F4">
        <w:t xml:space="preserve">we believe that a preferable </w:t>
      </w:r>
      <w:r w:rsidR="0050612F">
        <w:t xml:space="preserve">simpler </w:t>
      </w:r>
      <w:r w:rsidR="007074F4">
        <w:t>approach</w:t>
      </w:r>
      <w:r w:rsidR="005F3124">
        <w:t xml:space="preserve">, requiring </w:t>
      </w:r>
      <w:r w:rsidR="00677A5D">
        <w:t>less functional changes</w:t>
      </w:r>
      <w:r w:rsidR="00323DDC">
        <w:t xml:space="preserve"> to the NR-U system</w:t>
      </w:r>
      <w:r w:rsidR="00677A5D">
        <w:t>,</w:t>
      </w:r>
      <w:r w:rsidR="007074F4">
        <w:t xml:space="preserve"> is that</w:t>
      </w:r>
      <w:r w:rsidR="00B22857">
        <w:t xml:space="preserve"> the UE can just stop the CGRT timers for all configured HARQ processes if the </w:t>
      </w:r>
      <w:r w:rsidR="00717565">
        <w:t xml:space="preserve">respective </w:t>
      </w:r>
      <w:r w:rsidR="00B22857">
        <w:t xml:space="preserve">CGRT timer is running. </w:t>
      </w:r>
      <w:r w:rsidR="00CA01BF">
        <w:t>Hence</w:t>
      </w:r>
      <w:r w:rsidR="00B22857">
        <w:t xml:space="preserve">, the UE shall also flush </w:t>
      </w:r>
      <w:r w:rsidR="00CA01BF">
        <w:t xml:space="preserve">the HARQ </w:t>
      </w:r>
      <w:r w:rsidR="00B22857">
        <w:t xml:space="preserve">buffers for all HARQ processes which </w:t>
      </w:r>
      <w:r w:rsidR="00122E9F">
        <w:t>the UE is currently using</w:t>
      </w:r>
      <w:r w:rsidR="00B22857">
        <w:t xml:space="preserve">, and consider NDI bits for all configured HARQ processes to be </w:t>
      </w:r>
      <w:r w:rsidR="00171154">
        <w:t>toggled</w:t>
      </w:r>
      <w:r w:rsidR="00B22857">
        <w:t>. Meanwhile</w:t>
      </w:r>
      <w:r w:rsidR="00E1164A">
        <w:t>,</w:t>
      </w:r>
      <w:r w:rsidR="00B22857">
        <w:t xml:space="preserve"> the UE can trigger corresponding upper layer retransmissions for those flushed TBs. </w:t>
      </w:r>
    </w:p>
    <w:p w14:paraId="38DB1CC8" w14:textId="12D1ECAB" w:rsidR="00175D7B" w:rsidRDefault="002C3E2A" w:rsidP="002B4422">
      <w:r>
        <w:t>Obviously,</w:t>
      </w:r>
      <w:r w:rsidR="00487F9D">
        <w:t xml:space="preserve"> the proposed UE actions </w:t>
      </w:r>
      <w:r w:rsidR="00384756">
        <w:t>should not be</w:t>
      </w:r>
      <w:r w:rsidR="00487F9D">
        <w:t xml:space="preserve"> applicable to </w:t>
      </w:r>
      <w:r w:rsidR="00384756">
        <w:t xml:space="preserve">those HARQ processes </w:t>
      </w:r>
      <w:r w:rsidR="00487F9D">
        <w:t>which are being used by other CG configurations</w:t>
      </w:r>
      <w:r w:rsidR="00E0022E">
        <w:t xml:space="preserve"> as well</w:t>
      </w:r>
      <w:r w:rsidR="00487F9D">
        <w:t>. Therefore, we make the below proposal</w:t>
      </w:r>
      <w:r w:rsidR="002601CE">
        <w:t>.</w:t>
      </w:r>
    </w:p>
    <w:p w14:paraId="63C6BDCD" w14:textId="106B72F4" w:rsidR="00487F9D" w:rsidRDefault="00487F9D" w:rsidP="00487F9D">
      <w:pPr>
        <w:pStyle w:val="Proposal"/>
      </w:pPr>
      <w:bookmarkStart w:id="67" w:name="_Toc31286497"/>
      <w:bookmarkStart w:id="68" w:name="_Toc32229465"/>
      <w:bookmarkStart w:id="69" w:name="_Toc32496958"/>
      <w:bookmarkStart w:id="70" w:name="_Toc32521257"/>
      <w:bookmarkStart w:id="71" w:name="_Toc32522036"/>
      <w:r>
        <w:t xml:space="preserve">Upon receiving a CG activation command, for </w:t>
      </w:r>
      <w:r w:rsidR="001E0C92">
        <w:t>each</w:t>
      </w:r>
      <w:r>
        <w:t xml:space="preserve"> HARQ process configured for the CG and not being used by other CG configurations, the UE performs </w:t>
      </w:r>
      <w:r w:rsidR="0023258C">
        <w:t xml:space="preserve">the </w:t>
      </w:r>
      <w:r>
        <w:t>below actions</w:t>
      </w:r>
      <w:bookmarkEnd w:id="67"/>
      <w:bookmarkEnd w:id="68"/>
      <w:r w:rsidR="005C6AA2">
        <w:t>:</w:t>
      </w:r>
      <w:bookmarkEnd w:id="69"/>
      <w:bookmarkEnd w:id="70"/>
      <w:bookmarkEnd w:id="71"/>
      <w:r>
        <w:t xml:space="preserve"> </w:t>
      </w:r>
    </w:p>
    <w:p w14:paraId="2FA9F5F6" w14:textId="6D1B1B76" w:rsidR="007C156D" w:rsidRDefault="00EA6EA0" w:rsidP="00487F9D">
      <w:pPr>
        <w:pStyle w:val="Proposal"/>
        <w:numPr>
          <w:ilvl w:val="1"/>
          <w:numId w:val="3"/>
        </w:numPr>
      </w:pPr>
      <w:bookmarkStart w:id="72" w:name="_Toc32229466"/>
      <w:bookmarkStart w:id="73" w:name="_Toc32496959"/>
      <w:bookmarkStart w:id="74" w:name="_Toc32521258"/>
      <w:bookmarkStart w:id="75" w:name="_Toc32522037"/>
      <w:bookmarkStart w:id="76" w:name="_Toc31286498"/>
      <w:r>
        <w:t>s</w:t>
      </w:r>
      <w:r w:rsidR="007C156D">
        <w:t>top the CGT for the HARQ process</w:t>
      </w:r>
      <w:bookmarkEnd w:id="72"/>
      <w:bookmarkEnd w:id="73"/>
      <w:bookmarkEnd w:id="74"/>
      <w:bookmarkEnd w:id="75"/>
    </w:p>
    <w:p w14:paraId="5A6C5203" w14:textId="543B57BC" w:rsidR="00487F9D" w:rsidRDefault="00EA6EA0" w:rsidP="00487F9D">
      <w:pPr>
        <w:pStyle w:val="Proposal"/>
        <w:numPr>
          <w:ilvl w:val="1"/>
          <w:numId w:val="3"/>
        </w:numPr>
      </w:pPr>
      <w:bookmarkStart w:id="77" w:name="_Toc32229467"/>
      <w:bookmarkStart w:id="78" w:name="_Toc32496960"/>
      <w:bookmarkStart w:id="79" w:name="_Toc32521259"/>
      <w:bookmarkStart w:id="80" w:name="_Toc32522038"/>
      <w:r>
        <w:t>s</w:t>
      </w:r>
      <w:r w:rsidR="00487F9D">
        <w:t>top the CGRT for the HARQ process</w:t>
      </w:r>
      <w:bookmarkEnd w:id="76"/>
      <w:bookmarkEnd w:id="77"/>
      <w:bookmarkEnd w:id="78"/>
      <w:bookmarkEnd w:id="79"/>
      <w:bookmarkEnd w:id="80"/>
    </w:p>
    <w:p w14:paraId="68A59AB7" w14:textId="77777777" w:rsidR="00487F9D" w:rsidRDefault="00487F9D" w:rsidP="002F25F4">
      <w:pPr>
        <w:pStyle w:val="Proposal"/>
        <w:numPr>
          <w:ilvl w:val="1"/>
          <w:numId w:val="3"/>
        </w:numPr>
      </w:pPr>
      <w:bookmarkStart w:id="81" w:name="_Toc31286499"/>
      <w:bookmarkStart w:id="82" w:name="_Toc32229468"/>
      <w:bookmarkStart w:id="83" w:name="_Toc32496961"/>
      <w:bookmarkStart w:id="84" w:name="_Toc32521260"/>
      <w:bookmarkStart w:id="85" w:name="_Toc32522039"/>
      <w:r>
        <w:t>flush the HARQ buffer for the HARQ process</w:t>
      </w:r>
      <w:bookmarkEnd w:id="81"/>
      <w:bookmarkEnd w:id="82"/>
      <w:bookmarkEnd w:id="83"/>
      <w:bookmarkEnd w:id="84"/>
      <w:bookmarkEnd w:id="85"/>
    </w:p>
    <w:p w14:paraId="620E5159" w14:textId="3A3D8464" w:rsidR="00487F9D" w:rsidRPr="002B4422" w:rsidRDefault="00487F9D" w:rsidP="00AD3FAC">
      <w:pPr>
        <w:pStyle w:val="Proposal"/>
        <w:numPr>
          <w:ilvl w:val="1"/>
          <w:numId w:val="3"/>
        </w:numPr>
      </w:pPr>
      <w:bookmarkStart w:id="86" w:name="_Toc31286500"/>
      <w:bookmarkStart w:id="87" w:name="_Toc32229469"/>
      <w:bookmarkStart w:id="88" w:name="_Toc32496962"/>
      <w:bookmarkStart w:id="89" w:name="_Toc32521261"/>
      <w:bookmarkStart w:id="90" w:name="_Toc32522040"/>
      <w:r>
        <w:t xml:space="preserve">consider the NDI to </w:t>
      </w:r>
      <w:r w:rsidR="0034135C">
        <w:t xml:space="preserve">be </w:t>
      </w:r>
      <w:r w:rsidR="00C116FB">
        <w:t>toggled</w:t>
      </w:r>
      <w:r>
        <w:t xml:space="preserve"> for the HARQ process.</w:t>
      </w:r>
      <w:bookmarkEnd w:id="86"/>
      <w:bookmarkEnd w:id="87"/>
      <w:bookmarkEnd w:id="88"/>
      <w:bookmarkEnd w:id="89"/>
      <w:bookmarkEnd w:id="90"/>
    </w:p>
    <w:p w14:paraId="784DD32E" w14:textId="77777777" w:rsidR="008019AD" w:rsidRDefault="008019AD" w:rsidP="008019AD">
      <w:pPr>
        <w:pStyle w:val="Heading2"/>
      </w:pPr>
      <w:r>
        <w:t>CG with repetition</w:t>
      </w:r>
    </w:p>
    <w:p w14:paraId="39965EE3" w14:textId="7F1E0DE7" w:rsidR="00AB6BAC" w:rsidRDefault="00AB6BAC" w:rsidP="00AB6BAC">
      <w:pPr>
        <w:pStyle w:val="IvDInstructiontext"/>
        <w:rPr>
          <w:rStyle w:val="IvDbodytextChar"/>
          <w:rFonts w:cs="Arial"/>
          <w:i w:val="0"/>
          <w:color w:val="auto"/>
        </w:rPr>
      </w:pPr>
      <w:r>
        <w:rPr>
          <w:rStyle w:val="IvDbodytextChar"/>
          <w:rFonts w:cs="Arial"/>
          <w:i w:val="0"/>
          <w:color w:val="auto"/>
        </w:rPr>
        <w:t xml:space="preserve">At a CG occasion in a CG configuration with TB repetition </w:t>
      </w:r>
      <w:r w:rsidRPr="006A566A">
        <w:rPr>
          <w:rStyle w:val="IvDbodytextChar"/>
          <w:rFonts w:cs="Arial"/>
          <w:i w:val="0"/>
          <w:color w:val="auto"/>
        </w:rPr>
        <w:t>(</w:t>
      </w:r>
      <w:r w:rsidR="00147F46">
        <w:rPr>
          <w:rStyle w:val="IvDbodytextChar"/>
          <w:rFonts w:cs="Arial"/>
          <w:i w:val="0"/>
          <w:color w:val="auto"/>
        </w:rPr>
        <w:t xml:space="preserve">i.e., </w:t>
      </w:r>
      <w:r w:rsidRPr="00FE23DA">
        <w:rPr>
          <w:color w:val="auto"/>
        </w:rPr>
        <w:t>repK</w:t>
      </w:r>
      <w:r w:rsidRPr="006A566A">
        <w:rPr>
          <w:i w:val="0"/>
          <w:color w:val="auto"/>
        </w:rPr>
        <w:t xml:space="preserve"> </w:t>
      </w:r>
      <w:r w:rsidR="00147F46">
        <w:rPr>
          <w:i w:val="0"/>
          <w:color w:val="auto"/>
        </w:rPr>
        <w:t xml:space="preserve">&gt; 1 </w:t>
      </w:r>
      <w:r>
        <w:rPr>
          <w:i w:val="0"/>
          <w:color w:val="auto"/>
        </w:rPr>
        <w:t xml:space="preserve">in the </w:t>
      </w:r>
      <w:r w:rsidRPr="00FE23DA">
        <w:rPr>
          <w:color w:val="auto"/>
        </w:rPr>
        <w:t>ConfiguredGrantConfig</w:t>
      </w:r>
      <w:r>
        <w:rPr>
          <w:rStyle w:val="IvDbodytextChar"/>
          <w:rFonts w:cs="Arial"/>
          <w:i w:val="0"/>
          <w:color w:val="auto"/>
        </w:rPr>
        <w:t xml:space="preserve">), for a new transmission, the UE selects data from the set of LCHs which are mapped to the CG configuration to build the TB. The UE starts the CGT timer for the associated HARQ process immediately after the TB is transmitted at the PHY layer. After the TB has been transmitted, </w:t>
      </w:r>
      <w:r w:rsidR="00DD79CA">
        <w:rPr>
          <w:rStyle w:val="IvDbodytextChar"/>
          <w:rFonts w:cs="Arial"/>
          <w:i w:val="0"/>
          <w:color w:val="auto"/>
        </w:rPr>
        <w:t xml:space="preserve">for </w:t>
      </w:r>
      <w:r>
        <w:rPr>
          <w:rStyle w:val="IvDbodytextChar"/>
          <w:rFonts w:cs="Arial"/>
          <w:i w:val="0"/>
          <w:color w:val="auto"/>
        </w:rPr>
        <w:t>the</w:t>
      </w:r>
      <w:r w:rsidR="00DD79CA">
        <w:rPr>
          <w:rStyle w:val="IvDbodytextChar"/>
          <w:rFonts w:cs="Arial"/>
          <w:i w:val="0"/>
          <w:color w:val="auto"/>
        </w:rPr>
        <w:t xml:space="preserve"> </w:t>
      </w:r>
      <w:r>
        <w:rPr>
          <w:rStyle w:val="IvDbodytextChar"/>
          <w:rFonts w:cs="Arial"/>
          <w:i w:val="0"/>
          <w:color w:val="auto"/>
        </w:rPr>
        <w:t>transmi</w:t>
      </w:r>
      <w:r w:rsidR="00DD79CA">
        <w:rPr>
          <w:rStyle w:val="IvDbodytextChar"/>
          <w:rFonts w:cs="Arial"/>
          <w:i w:val="0"/>
          <w:color w:val="auto"/>
        </w:rPr>
        <w:t>ssion of</w:t>
      </w:r>
      <w:r>
        <w:rPr>
          <w:rStyle w:val="IvDbodytextChar"/>
          <w:rFonts w:cs="Arial"/>
          <w:i w:val="0"/>
          <w:color w:val="auto"/>
        </w:rPr>
        <w:t xml:space="preserve"> a subsequent TB repetition</w:t>
      </w:r>
      <w:r w:rsidR="00DD79CA">
        <w:rPr>
          <w:rStyle w:val="IvDbodytextChar"/>
          <w:rFonts w:cs="Arial"/>
          <w:i w:val="0"/>
          <w:color w:val="auto"/>
        </w:rPr>
        <w:t>, the configured grant resource</w:t>
      </w:r>
      <w:r>
        <w:rPr>
          <w:rStyle w:val="IvDbodytextChar"/>
          <w:rFonts w:cs="Arial"/>
          <w:i w:val="0"/>
          <w:color w:val="auto"/>
        </w:rPr>
        <w:t xml:space="preserve"> </w:t>
      </w:r>
      <w:r w:rsidR="00DD79CA">
        <w:rPr>
          <w:rStyle w:val="IvDbodytextChar"/>
          <w:rFonts w:cs="Arial"/>
          <w:i w:val="0"/>
          <w:color w:val="auto"/>
        </w:rPr>
        <w:t>can be</w:t>
      </w:r>
      <w:r>
        <w:rPr>
          <w:rStyle w:val="IvDbodytextChar"/>
          <w:rFonts w:cs="Arial"/>
          <w:i w:val="0"/>
          <w:color w:val="auto"/>
        </w:rPr>
        <w:t xml:space="preserve"> selected </w:t>
      </w:r>
      <w:r w:rsidR="00DD79CA">
        <w:rPr>
          <w:rStyle w:val="IvDbodytextChar"/>
          <w:rFonts w:cs="Arial"/>
          <w:i w:val="0"/>
          <w:color w:val="auto"/>
        </w:rPr>
        <w:t>as follows</w:t>
      </w:r>
      <w:r>
        <w:rPr>
          <w:rStyle w:val="IvDbodytextChar"/>
          <w:rFonts w:cs="Arial"/>
          <w:i w:val="0"/>
          <w:color w:val="auto"/>
        </w:rPr>
        <w:t xml:space="preserve">. </w:t>
      </w:r>
    </w:p>
    <w:p w14:paraId="468DB583" w14:textId="45794DBD" w:rsidR="00AB6BAC" w:rsidRPr="00E65CBD" w:rsidRDefault="00AB6BAC" w:rsidP="00AB6BAC">
      <w:pPr>
        <w:pStyle w:val="IvDInstructiontext"/>
        <w:rPr>
          <w:rStyle w:val="IvDbodytextChar"/>
          <w:rFonts w:cs="Arial"/>
          <w:i w:val="0"/>
          <w:color w:val="auto"/>
        </w:rPr>
      </w:pPr>
      <w:r w:rsidRPr="00E65CBD">
        <w:rPr>
          <w:rStyle w:val="IvDbodytextChar"/>
          <w:rFonts w:cs="Arial"/>
          <w:i w:val="0"/>
          <w:color w:val="auto"/>
        </w:rPr>
        <w:t>Option 1: the UE chooses a configured resource in the same CG configuration which is used for the initial transmission (i.e. retransmissions are restricted within the same configuration where the initial transmission is preformed).</w:t>
      </w:r>
    </w:p>
    <w:p w14:paraId="2A0DD346" w14:textId="109F6AD2" w:rsidR="00AB6BAC" w:rsidRDefault="00AB6BAC" w:rsidP="00E65CBD">
      <w:pPr>
        <w:pStyle w:val="IvDInstructiontext"/>
        <w:rPr>
          <w:rStyle w:val="IvDbodytextChar"/>
          <w:rFonts w:cs="Arial"/>
          <w:i w:val="0"/>
          <w:color w:val="auto"/>
        </w:rPr>
      </w:pPr>
      <w:r w:rsidRPr="00E65CBD">
        <w:rPr>
          <w:rStyle w:val="IvDbodytextChar"/>
          <w:rFonts w:cs="Arial"/>
          <w:i w:val="0"/>
          <w:color w:val="auto"/>
        </w:rPr>
        <w:t xml:space="preserve">Option 2: the UE </w:t>
      </w:r>
      <w:r w:rsidR="006630CE" w:rsidRPr="00E65CBD">
        <w:rPr>
          <w:i w:val="0"/>
          <w:color w:val="auto"/>
          <w:sz w:val="20"/>
          <w:szCs w:val="20"/>
        </w:rPr>
        <w:t>uses any CG resource</w:t>
      </w:r>
      <w:r w:rsidR="0046671F">
        <w:rPr>
          <w:i w:val="0"/>
          <w:color w:val="auto"/>
          <w:sz w:val="20"/>
          <w:szCs w:val="20"/>
        </w:rPr>
        <w:t>, possibly belonging to another CG configuration,</w:t>
      </w:r>
      <w:r w:rsidR="006630CE" w:rsidRPr="00E65CBD">
        <w:rPr>
          <w:i w:val="0"/>
          <w:color w:val="auto"/>
          <w:sz w:val="20"/>
          <w:szCs w:val="20"/>
        </w:rPr>
        <w:t xml:space="preserve"> which comes earliest in the time to perform retransmission. In addition, </w:t>
      </w:r>
      <w:r w:rsidR="006630CE" w:rsidRPr="00E65CBD">
        <w:rPr>
          <w:rStyle w:val="bodytextChar0"/>
          <w:i w:val="0"/>
          <w:color w:val="auto"/>
        </w:rPr>
        <w:t>the selected resource shall provide same size as the same initial TB to avoid rate-matching on the TB</w:t>
      </w:r>
      <w:r w:rsidR="006630CE" w:rsidRPr="00E65CBD">
        <w:rPr>
          <w:rStyle w:val="IvDbodytextChar"/>
          <w:rFonts w:cs="Arial"/>
          <w:i w:val="0"/>
          <w:color w:val="auto"/>
        </w:rPr>
        <w:t xml:space="preserve">. </w:t>
      </w:r>
      <w:r w:rsidR="006630CE">
        <w:rPr>
          <w:rStyle w:val="IvDbodytextChar"/>
          <w:rFonts w:cs="Arial"/>
          <w:i w:val="0"/>
          <w:color w:val="auto"/>
        </w:rPr>
        <w:t>The same HARQ process shall be used to transmit a subsequent TB repetition. In this option, the UE may select a resource in a CG configuration not configured with repetition (</w:t>
      </w:r>
      <w:r w:rsidR="006630CE" w:rsidRPr="00E65CBD">
        <w:rPr>
          <w:rStyle w:val="IvDbodytextChar"/>
          <w:rFonts w:cs="Arial"/>
          <w:i w:val="0"/>
          <w:color w:val="auto"/>
        </w:rPr>
        <w:t xml:space="preserve">i.e., </w:t>
      </w:r>
      <w:r w:rsidR="006630CE" w:rsidRPr="00E65CBD">
        <w:rPr>
          <w:color w:val="auto"/>
        </w:rPr>
        <w:t xml:space="preserve">repK =1 </w:t>
      </w:r>
      <w:r w:rsidR="006630CE" w:rsidRPr="00E65CBD">
        <w:rPr>
          <w:i w:val="0"/>
          <w:color w:val="auto"/>
        </w:rPr>
        <w:t xml:space="preserve">in the </w:t>
      </w:r>
      <w:r w:rsidR="006630CE" w:rsidRPr="00E65CBD">
        <w:rPr>
          <w:color w:val="auto"/>
        </w:rPr>
        <w:t>ConfiguredGrantConfig</w:t>
      </w:r>
      <w:r w:rsidR="006630CE">
        <w:rPr>
          <w:rStyle w:val="IvDbodytextChar"/>
          <w:rFonts w:cs="Arial"/>
          <w:i w:val="0"/>
          <w:color w:val="auto"/>
        </w:rPr>
        <w:t>) to transmit a subsequent TB repetition.</w:t>
      </w:r>
    </w:p>
    <w:p w14:paraId="49F5E15B" w14:textId="5E14631D" w:rsidR="00B86A05" w:rsidRPr="00E65CBD" w:rsidRDefault="00B86A05" w:rsidP="00B86A05">
      <w:pPr>
        <w:rPr>
          <w:lang w:val="en-US"/>
        </w:rPr>
      </w:pPr>
    </w:p>
    <w:p w14:paraId="7C758F11" w14:textId="77E318C2" w:rsidR="007E235E" w:rsidRDefault="006630CE" w:rsidP="00175D7B">
      <w:r>
        <w:t>We think it is beneficial to apply Option 2 since it</w:t>
      </w:r>
      <w:r w:rsidRPr="001603CE">
        <w:t xml:space="preserve"> can reduce the latency</w:t>
      </w:r>
      <w:r>
        <w:t>.</w:t>
      </w:r>
    </w:p>
    <w:p w14:paraId="4AC561D3" w14:textId="573A2A23" w:rsidR="006630CE" w:rsidRPr="002B4422" w:rsidRDefault="006630CE" w:rsidP="00E65CBD">
      <w:pPr>
        <w:pStyle w:val="Proposal"/>
      </w:pPr>
      <w:bookmarkStart w:id="91" w:name="_Toc31286501"/>
      <w:bookmarkStart w:id="92" w:name="_Toc32229470"/>
      <w:bookmarkStart w:id="93" w:name="_Toc32496963"/>
      <w:bookmarkStart w:id="94" w:name="_Toc32521262"/>
      <w:bookmarkStart w:id="95" w:name="_Toc32522041"/>
      <w:r>
        <w:t xml:space="preserve">The UE can </w:t>
      </w:r>
      <w:r w:rsidR="00231864">
        <w:t xml:space="preserve">transmit </w:t>
      </w:r>
      <w:r>
        <w:t xml:space="preserve">a TB repetition using a different CG configuration/resource from the one used for the initial transmission. </w:t>
      </w:r>
      <w:r>
        <w:rPr>
          <w:rStyle w:val="bodytextChar0"/>
        </w:rPr>
        <w:t>The selected resource shall provide same size as the initial TB</w:t>
      </w:r>
      <w:r>
        <w:t>.</w:t>
      </w:r>
      <w:bookmarkEnd w:id="91"/>
      <w:bookmarkEnd w:id="92"/>
      <w:bookmarkEnd w:id="93"/>
      <w:bookmarkEnd w:id="94"/>
      <w:bookmarkEnd w:id="95"/>
    </w:p>
    <w:p w14:paraId="220C155B" w14:textId="6B9CE1F9" w:rsidR="00B8419D" w:rsidRDefault="007B533D" w:rsidP="001B40F8">
      <w:r>
        <w:t>Fo</w:t>
      </w:r>
      <w:r w:rsidRPr="00E65CBD">
        <w:t>r every TB transmitted with a configured grant, the UE starts the CGT timer for the associated HARQ process immediately after the TB is initially transmitted at the PHY layer</w:t>
      </w:r>
      <w:r w:rsidR="0017421B">
        <w:t xml:space="preserve"> regardless if repetition is configured or not</w:t>
      </w:r>
      <w:r w:rsidRPr="00E65CBD">
        <w:t xml:space="preserve">. </w:t>
      </w:r>
      <w:r w:rsidR="00DD12D4">
        <w:t>This makes sense since the CGT timer is started to avoid the HARQ process to be override</w:t>
      </w:r>
      <w:r w:rsidR="002C005C">
        <w:t>n</w:t>
      </w:r>
      <w:r w:rsidR="00DD12D4">
        <w:t xml:space="preserve"> by another CG grant while a repetition is being transmitted.</w:t>
      </w:r>
    </w:p>
    <w:p w14:paraId="7E174B3F" w14:textId="6809A8B7" w:rsidR="006E1B12" w:rsidRPr="00453F6D" w:rsidRDefault="00FB1A87" w:rsidP="006E1B12">
      <w:pPr>
        <w:pStyle w:val="Observation"/>
        <w:ind w:left="1701" w:hanging="1701"/>
      </w:pPr>
      <w:bookmarkStart w:id="96" w:name="_Toc32390537"/>
      <w:bookmarkStart w:id="97" w:name="_Toc32496956"/>
      <w:bookmarkStart w:id="98" w:name="_Toc32498491"/>
      <w:bookmarkStart w:id="99" w:name="_Toc32508394"/>
      <w:bookmarkStart w:id="100" w:name="_Toc32521255"/>
      <w:bookmarkStart w:id="101" w:name="_Toc32522034"/>
      <w:r>
        <w:t>Fo</w:t>
      </w:r>
      <w:r w:rsidRPr="001603CE">
        <w:t>r a configured grant, the UE starts the CGT timer for the associated HARQ process immediately after the TB is initially transmitted at the PHY layer</w:t>
      </w:r>
      <w:r>
        <w:t xml:space="preserve"> regardless if repetition is configured or not</w:t>
      </w:r>
      <w:r w:rsidR="006E1B12">
        <w:t>.</w:t>
      </w:r>
      <w:bookmarkEnd w:id="96"/>
      <w:bookmarkEnd w:id="97"/>
      <w:bookmarkEnd w:id="98"/>
      <w:bookmarkEnd w:id="99"/>
      <w:bookmarkEnd w:id="100"/>
      <w:bookmarkEnd w:id="101"/>
    </w:p>
    <w:p w14:paraId="5ADAC61E" w14:textId="03F2C554" w:rsidR="007B533D" w:rsidRPr="00E65CBD" w:rsidRDefault="00663698" w:rsidP="00E65CBD">
      <w:r>
        <w:t xml:space="preserve">For a CG based transmission without TB repetition, the CGRT timer is started/restarted for the HARQ process after every transmission and retransmission with a CG resource. In case TB repetition is configured, the UE can transmit a subsequent TB repetition directly after the initial transmission. In other words, the UE doesn’t wait for expiry of the CGRT timer. From this perspective, a TB repetition is different from a TB retransmission. On the other hand, it would be beneficial for the UE to continue with autonomous retransmissions after K repetitions since the UE may not be able to receive HARQ A/N from the gNB for the TB. Therefore, the CGRT timer is still needed. </w:t>
      </w:r>
      <w:r w:rsidR="0007287D">
        <w:t>Therefore, for the</w:t>
      </w:r>
      <w:r w:rsidR="007B533D" w:rsidRPr="00E65CBD">
        <w:t xml:space="preserve"> start </w:t>
      </w:r>
      <w:r w:rsidR="0007287D">
        <w:t xml:space="preserve">of </w:t>
      </w:r>
      <w:r w:rsidR="007B533D" w:rsidRPr="00E65CBD">
        <w:t>the CGRT timer</w:t>
      </w:r>
      <w:r w:rsidR="0007287D">
        <w:t>, we can foresee two possible options</w:t>
      </w:r>
      <w:r w:rsidR="007B533D" w:rsidRPr="00E65CBD">
        <w:t>.</w:t>
      </w:r>
    </w:p>
    <w:p w14:paraId="15EF6097" w14:textId="1E8681C7" w:rsidR="007B533D" w:rsidRPr="00E65CBD" w:rsidRDefault="007B533D" w:rsidP="00E65CBD">
      <w:r w:rsidRPr="00E65CBD">
        <w:t>Option 1: the CGRT is started and restarted immediately after every TB repetition is transmitted using a configured grant. As to the timer value, the UE sets the timer as the value configured in the CG configuration which is used for the transmission of the corresponding TB repetition.</w:t>
      </w:r>
    </w:p>
    <w:p w14:paraId="5E39D59E" w14:textId="23ACF845" w:rsidR="006630CE" w:rsidRPr="00E65CBD" w:rsidRDefault="007B533D" w:rsidP="00E65CBD">
      <w:r w:rsidRPr="00E65CBD">
        <w:t xml:space="preserve">Option </w:t>
      </w:r>
      <w:r w:rsidR="001B40F8">
        <w:t>2</w:t>
      </w:r>
      <w:r w:rsidRPr="00E65CBD">
        <w:t>: the CGRT is started immediately after the last TB repetition is transmitted using a configured grant. As to the timer value, the UE sets the timer as the value configured in the CG configuration which is used for the transmission of the last TB repetition</w:t>
      </w:r>
    </w:p>
    <w:p w14:paraId="781EBD02" w14:textId="4404AB01" w:rsidR="009F109E" w:rsidRDefault="008152D2" w:rsidP="001B40F8">
      <w:r>
        <w:t>From performance perspective, there is no much difference between the 2 o</w:t>
      </w:r>
      <w:r w:rsidR="006013A4">
        <w:t xml:space="preserve">ptions. </w:t>
      </w:r>
      <w:r w:rsidR="00AD1105">
        <w:t>H</w:t>
      </w:r>
      <w:r w:rsidR="00626997">
        <w:t>oweve</w:t>
      </w:r>
      <w:r w:rsidR="000F46ED">
        <w:t>r</w:t>
      </w:r>
      <w:r w:rsidR="00626997">
        <w:t>, w</w:t>
      </w:r>
      <w:r w:rsidR="007D72E9">
        <w:t xml:space="preserve">e think Option </w:t>
      </w:r>
      <w:r w:rsidR="00597306">
        <w:t>1</w:t>
      </w:r>
      <w:r w:rsidR="007D72E9">
        <w:t xml:space="preserve"> is better since the UE</w:t>
      </w:r>
      <w:r w:rsidR="00597306">
        <w:t xml:space="preserve"> will apply the same framework to handle the CGRT timer regardless if the transmission is a TB repletion or retransmission of a TB, i.e., the CGRT timer is started/restarted after a transmission is performed using a configured grant</w:t>
      </w:r>
      <w:r w:rsidR="007D72E9">
        <w:t xml:space="preserve">. </w:t>
      </w:r>
    </w:p>
    <w:p w14:paraId="58831D39" w14:textId="4390D183" w:rsidR="007D72E9" w:rsidRDefault="007D72E9" w:rsidP="007D72E9">
      <w:pPr>
        <w:pStyle w:val="Proposal"/>
      </w:pPr>
      <w:bookmarkStart w:id="102" w:name="_Toc31286503"/>
      <w:bookmarkStart w:id="103" w:name="_Toc32229472"/>
      <w:bookmarkStart w:id="104" w:name="_Toc32496964"/>
      <w:bookmarkStart w:id="105" w:name="_Toc32521263"/>
      <w:bookmarkStart w:id="106" w:name="_Toc32522042"/>
      <w:r>
        <w:t>T</w:t>
      </w:r>
      <w:r w:rsidRPr="001603CE">
        <w:t xml:space="preserve">he CGRT is </w:t>
      </w:r>
      <w:r w:rsidR="00D52A4D" w:rsidRPr="00E65CBD">
        <w:t>started and restarted immediately after every TB repetition is transmitted using a configured grant</w:t>
      </w:r>
      <w:r w:rsidR="00D52A4D" w:rsidRPr="001603CE" w:rsidDel="00D52A4D">
        <w:t xml:space="preserve"> </w:t>
      </w:r>
      <w:r>
        <w:t xml:space="preserve">if none of the below </w:t>
      </w:r>
      <w:r w:rsidR="00507B8E">
        <w:t>condition is fulfilled.</w:t>
      </w:r>
      <w:bookmarkEnd w:id="102"/>
      <w:bookmarkEnd w:id="103"/>
      <w:bookmarkEnd w:id="104"/>
      <w:bookmarkEnd w:id="105"/>
      <w:bookmarkEnd w:id="106"/>
      <w:r w:rsidR="00507B8E">
        <w:t xml:space="preserve"> </w:t>
      </w:r>
    </w:p>
    <w:p w14:paraId="0B0B70F5" w14:textId="7CDD7AA6" w:rsidR="007D72E9" w:rsidRDefault="007D72E9" w:rsidP="00B8419D">
      <w:pPr>
        <w:pStyle w:val="Proposal"/>
        <w:numPr>
          <w:ilvl w:val="1"/>
          <w:numId w:val="3"/>
        </w:numPr>
      </w:pPr>
      <w:bookmarkStart w:id="107" w:name="_Toc31286504"/>
      <w:bookmarkStart w:id="108" w:name="_Toc32229473"/>
      <w:bookmarkStart w:id="109" w:name="_Toc32496965"/>
      <w:bookmarkStart w:id="110" w:name="_Toc32521264"/>
      <w:bookmarkStart w:id="111" w:name="_Toc32522043"/>
      <w:r>
        <w:t xml:space="preserve">A HARQ </w:t>
      </w:r>
      <w:r w:rsidR="00B8419D">
        <w:t>acknowledgement (ACK or NACK) for the associated HARQ process</w:t>
      </w:r>
      <w:r w:rsidR="00507B8E">
        <w:t xml:space="preserve"> is received</w:t>
      </w:r>
      <w:bookmarkEnd w:id="107"/>
      <w:bookmarkEnd w:id="108"/>
      <w:bookmarkEnd w:id="109"/>
      <w:bookmarkEnd w:id="110"/>
      <w:bookmarkEnd w:id="111"/>
    </w:p>
    <w:p w14:paraId="4C5EF6EA" w14:textId="0BE294F5" w:rsidR="00B8419D" w:rsidRDefault="00B8419D" w:rsidP="00B8419D">
      <w:pPr>
        <w:pStyle w:val="Proposal"/>
        <w:numPr>
          <w:ilvl w:val="1"/>
          <w:numId w:val="3"/>
        </w:numPr>
      </w:pPr>
      <w:bookmarkStart w:id="112" w:name="_Toc31286505"/>
      <w:bookmarkStart w:id="113" w:name="_Toc32229474"/>
      <w:bookmarkStart w:id="114" w:name="_Toc32496966"/>
      <w:bookmarkStart w:id="115" w:name="_Toc32521265"/>
      <w:bookmarkStart w:id="116" w:name="_Toc32522044"/>
      <w:r>
        <w:t>A dynamic grant indicating a new transmission associated with the same HARQ process</w:t>
      </w:r>
      <w:r w:rsidR="00507B8E">
        <w:t xml:space="preserve"> is received</w:t>
      </w:r>
      <w:bookmarkEnd w:id="112"/>
      <w:bookmarkEnd w:id="113"/>
      <w:bookmarkEnd w:id="114"/>
      <w:bookmarkEnd w:id="115"/>
      <w:bookmarkEnd w:id="116"/>
    </w:p>
    <w:p w14:paraId="517D8183" w14:textId="51D16F92" w:rsidR="00B8419D" w:rsidRPr="002B4422" w:rsidRDefault="00B8419D" w:rsidP="00E65CBD">
      <w:pPr>
        <w:pStyle w:val="Proposal"/>
        <w:numPr>
          <w:ilvl w:val="1"/>
          <w:numId w:val="3"/>
        </w:numPr>
      </w:pPr>
      <w:bookmarkStart w:id="117" w:name="_Toc31286506"/>
      <w:bookmarkStart w:id="118" w:name="_Toc32496967"/>
      <w:bookmarkStart w:id="119" w:name="_Toc32521266"/>
      <w:bookmarkStart w:id="120" w:name="_Toc32522045"/>
      <w:bookmarkStart w:id="121" w:name="_Toc32229475"/>
      <w:r>
        <w:t xml:space="preserve">The CGT timer </w:t>
      </w:r>
      <w:r w:rsidR="00306541">
        <w:t xml:space="preserve">is </w:t>
      </w:r>
      <w:r w:rsidR="00507B8E">
        <w:t>expired.</w:t>
      </w:r>
      <w:bookmarkEnd w:id="117"/>
      <w:bookmarkEnd w:id="118"/>
      <w:bookmarkEnd w:id="119"/>
      <w:bookmarkEnd w:id="120"/>
      <w:r w:rsidR="00306541">
        <w:t xml:space="preserve"> </w:t>
      </w:r>
      <w:bookmarkEnd w:id="121"/>
    </w:p>
    <w:p w14:paraId="380BDD0D" w14:textId="77777777" w:rsidR="007D72E9" w:rsidRPr="00E65CBD" w:rsidRDefault="007D72E9" w:rsidP="00E65CBD"/>
    <w:bookmarkEnd w:id="3"/>
    <w:bookmarkEnd w:id="4"/>
    <w:p w14:paraId="714029A2" w14:textId="051E2991" w:rsidR="00300AE8" w:rsidRPr="00DC65AC" w:rsidRDefault="00300AE8" w:rsidP="00300AE8">
      <w:pPr>
        <w:pStyle w:val="Heading1"/>
      </w:pPr>
      <w:r w:rsidRPr="00DC65AC">
        <w:t>Conclusion</w:t>
      </w:r>
    </w:p>
    <w:p w14:paraId="588E0F1C" w14:textId="6A8BD82E" w:rsidR="00FE572F" w:rsidRPr="00DC65AC" w:rsidRDefault="00FE572F" w:rsidP="00FE572F">
      <w:pPr>
        <w:pStyle w:val="BodyText"/>
        <w:rPr>
          <w:b/>
          <w:bCs/>
          <w:highlight w:val="yellow"/>
        </w:rPr>
      </w:pPr>
    </w:p>
    <w:p w14:paraId="2426FE87" w14:textId="33404A4E" w:rsidR="004D02A1" w:rsidRPr="00DC65AC" w:rsidRDefault="004D02A1" w:rsidP="004D02A1">
      <w:r w:rsidRPr="00DC65AC">
        <w:t xml:space="preserve">In section </w:t>
      </w:r>
      <w:r w:rsidRPr="00DC65AC">
        <w:fldChar w:fldCharType="begin"/>
      </w:r>
      <w:r w:rsidRPr="00DC65AC">
        <w:instrText xml:space="preserve"> REF _Ref525834269 \r \h </w:instrText>
      </w:r>
      <w:r w:rsidRPr="00DC65AC">
        <w:fldChar w:fldCharType="separate"/>
      </w:r>
      <w:r w:rsidR="00C26332">
        <w:t>2</w:t>
      </w:r>
      <w:r w:rsidRPr="00DC65AC">
        <w:fldChar w:fldCharType="end"/>
      </w:r>
      <w:r w:rsidRPr="00DC65AC">
        <w:t xml:space="preserve"> we made the following observations:</w:t>
      </w:r>
    </w:p>
    <w:p w14:paraId="7DBEDD39" w14:textId="77777777" w:rsidR="00C26332" w:rsidRPr="00C26332" w:rsidRDefault="004D02A1">
      <w:pPr>
        <w:pStyle w:val="TOC1"/>
        <w:rPr>
          <w:rFonts w:asciiTheme="minorHAnsi" w:eastAsiaTheme="minorEastAsia" w:hAnsiTheme="minorHAnsi" w:cstheme="minorBidi"/>
          <w:b w:val="0"/>
          <w:sz w:val="22"/>
          <w:lang w:eastAsia="sv-SE"/>
        </w:rPr>
      </w:pPr>
      <w:r w:rsidRPr="00DC65AC">
        <w:rPr>
          <w:bCs/>
          <w:lang w:val="en-GB"/>
        </w:rPr>
        <w:fldChar w:fldCharType="begin"/>
      </w:r>
      <w:r w:rsidRPr="00DC65AC">
        <w:rPr>
          <w:bCs/>
          <w:lang w:val="en-GB"/>
        </w:rPr>
        <w:instrText xml:space="preserve"> TOC \n \p " " \t "Observation;1" </w:instrText>
      </w:r>
      <w:r w:rsidRPr="00DC65AC">
        <w:rPr>
          <w:bCs/>
          <w:lang w:val="en-GB"/>
        </w:rPr>
        <w:fldChar w:fldCharType="separate"/>
      </w:r>
      <w:r w:rsidR="00C26332">
        <w:t>Observation 1</w:t>
      </w:r>
      <w:r w:rsidR="00C26332" w:rsidRPr="00C26332">
        <w:rPr>
          <w:rFonts w:asciiTheme="minorHAnsi" w:eastAsiaTheme="minorEastAsia" w:hAnsiTheme="minorHAnsi" w:cstheme="minorBidi"/>
          <w:b w:val="0"/>
          <w:sz w:val="22"/>
          <w:lang w:eastAsia="sv-SE"/>
        </w:rPr>
        <w:tab/>
      </w:r>
      <w:r w:rsidR="00C26332">
        <w:t xml:space="preserve">The HARQ process number field in the UL DCI (format 0-0 and format 0-1) scrambled by CS-RNTI is used to </w:t>
      </w:r>
      <w:r w:rsidR="00C26332" w:rsidRPr="00874B0F">
        <w:rPr>
          <w:rFonts w:cs="Arial"/>
          <w:iCs/>
        </w:rPr>
        <w:t>indicate which configuration is to be activated and which configuration(s) is/are to be released</w:t>
      </w:r>
      <w:r w:rsidR="00C26332">
        <w:t>.</w:t>
      </w:r>
    </w:p>
    <w:p w14:paraId="1E39D363" w14:textId="77777777" w:rsidR="00C26332" w:rsidRPr="00C26332" w:rsidRDefault="00C26332">
      <w:pPr>
        <w:pStyle w:val="TOC1"/>
        <w:rPr>
          <w:rFonts w:asciiTheme="minorHAnsi" w:eastAsiaTheme="minorEastAsia" w:hAnsiTheme="minorHAnsi" w:cstheme="minorBidi"/>
          <w:b w:val="0"/>
          <w:sz w:val="22"/>
          <w:lang w:eastAsia="sv-SE"/>
        </w:rPr>
      </w:pPr>
      <w:r>
        <w:t>Observation 2</w:t>
      </w:r>
      <w:r w:rsidRPr="00C26332">
        <w:rPr>
          <w:rFonts w:asciiTheme="minorHAnsi" w:eastAsiaTheme="minorEastAsia" w:hAnsiTheme="minorHAnsi" w:cstheme="minorBidi"/>
          <w:b w:val="0"/>
          <w:sz w:val="22"/>
          <w:lang w:eastAsia="sv-SE"/>
        </w:rPr>
        <w:tab/>
      </w:r>
      <w:r>
        <w:t xml:space="preserve">A bitmap of CG configurations has been agreed to be adopted to </w:t>
      </w:r>
      <w:r w:rsidRPr="00874B0F">
        <w:rPr>
          <w:rFonts w:cs="Arial"/>
        </w:rPr>
        <w:t>Multiple CG activation/deactivation confirmation MAC CE</w:t>
      </w:r>
      <w:r>
        <w:t>.</w:t>
      </w:r>
    </w:p>
    <w:p w14:paraId="2B6F4439" w14:textId="77777777" w:rsidR="00C26332" w:rsidRPr="00C26332" w:rsidRDefault="00C26332">
      <w:pPr>
        <w:pStyle w:val="TOC1"/>
        <w:rPr>
          <w:rFonts w:asciiTheme="minorHAnsi" w:eastAsiaTheme="minorEastAsia" w:hAnsiTheme="minorHAnsi" w:cstheme="minorBidi"/>
          <w:b w:val="0"/>
          <w:sz w:val="22"/>
          <w:lang w:eastAsia="sv-SE"/>
        </w:rPr>
      </w:pPr>
      <w:r>
        <w:t>Observation 3</w:t>
      </w:r>
      <w:r w:rsidRPr="00C26332">
        <w:rPr>
          <w:rFonts w:asciiTheme="minorHAnsi" w:eastAsiaTheme="minorEastAsia" w:hAnsiTheme="minorHAnsi" w:cstheme="minorBidi"/>
          <w:b w:val="0"/>
          <w:sz w:val="22"/>
          <w:lang w:eastAsia="sv-SE"/>
        </w:rPr>
        <w:tab/>
      </w:r>
      <w:r>
        <w:t xml:space="preserve">In NR Rel-15, the UE stops the CGT timer for the corresponding HARQ process, </w:t>
      </w:r>
      <w:r>
        <w:rPr>
          <w:lang w:eastAsia="ko-KR"/>
        </w:rPr>
        <w:t>i.e., the HARQ process associated with the first transmission occasion after the activation/re-activation, and flush the corresponding HARQ buffer. That allows the UE to immediately send, at the fist configured grant occasion, a new MAC PDU containing the confirmation MAC CE.</w:t>
      </w:r>
    </w:p>
    <w:p w14:paraId="66990E94" w14:textId="77777777" w:rsidR="00C26332" w:rsidRPr="00C26332" w:rsidRDefault="00C26332">
      <w:pPr>
        <w:pStyle w:val="TOC1"/>
        <w:rPr>
          <w:rFonts w:asciiTheme="minorHAnsi" w:eastAsiaTheme="minorEastAsia" w:hAnsiTheme="minorHAnsi" w:cstheme="minorBidi"/>
          <w:b w:val="0"/>
          <w:sz w:val="22"/>
          <w:lang w:eastAsia="sv-SE"/>
        </w:rPr>
      </w:pPr>
      <w:r>
        <w:t>Observation 4</w:t>
      </w:r>
      <w:r w:rsidRPr="00C26332">
        <w:rPr>
          <w:rFonts w:asciiTheme="minorHAnsi" w:eastAsiaTheme="minorEastAsia" w:hAnsiTheme="minorHAnsi" w:cstheme="minorBidi"/>
          <w:b w:val="0"/>
          <w:sz w:val="22"/>
          <w:lang w:eastAsia="sv-SE"/>
        </w:rPr>
        <w:tab/>
      </w:r>
      <w:r>
        <w:t>Due to the nature of configured UL grant operations in unlicensed spectrum, it is not clear which is the “corresponding HARQ process” to which a DCI (re)activation command refers to.</w:t>
      </w:r>
    </w:p>
    <w:p w14:paraId="18D135BC" w14:textId="77777777" w:rsidR="00C26332" w:rsidRPr="00C26332" w:rsidRDefault="00C26332">
      <w:pPr>
        <w:pStyle w:val="TOC1"/>
        <w:rPr>
          <w:rFonts w:asciiTheme="minorHAnsi" w:eastAsiaTheme="minorEastAsia" w:hAnsiTheme="minorHAnsi" w:cstheme="minorBidi"/>
          <w:b w:val="0"/>
          <w:sz w:val="22"/>
          <w:lang w:eastAsia="sv-SE"/>
        </w:rPr>
      </w:pPr>
      <w:r>
        <w:t>Observation 5</w:t>
      </w:r>
      <w:r w:rsidRPr="00C26332">
        <w:rPr>
          <w:rFonts w:asciiTheme="minorHAnsi" w:eastAsiaTheme="minorEastAsia" w:hAnsiTheme="minorHAnsi" w:cstheme="minorBidi"/>
          <w:b w:val="0"/>
          <w:sz w:val="22"/>
          <w:lang w:eastAsia="sv-SE"/>
        </w:rPr>
        <w:tab/>
      </w:r>
      <w:r>
        <w:t>Leaving to UE implementation the selection of the “corresponding HARQ process” upon reception of the DCI (re)activation command might imply the need to specify new UE behaviours, in order to allow prompt transmission of the confirmation MAC CE, and to handle HARQ retransmissions.</w:t>
      </w:r>
    </w:p>
    <w:p w14:paraId="2D072B57" w14:textId="77777777" w:rsidR="00C26332" w:rsidRPr="00C26332" w:rsidRDefault="00C26332">
      <w:pPr>
        <w:pStyle w:val="TOC1"/>
        <w:rPr>
          <w:rFonts w:asciiTheme="minorHAnsi" w:eastAsiaTheme="minorEastAsia" w:hAnsiTheme="minorHAnsi" w:cstheme="minorBidi"/>
          <w:b w:val="0"/>
          <w:sz w:val="22"/>
          <w:lang w:eastAsia="sv-SE"/>
        </w:rPr>
      </w:pPr>
      <w:r>
        <w:t>Observation 6</w:t>
      </w:r>
      <w:r w:rsidRPr="00C26332">
        <w:rPr>
          <w:rFonts w:asciiTheme="minorHAnsi" w:eastAsiaTheme="minorEastAsia" w:hAnsiTheme="minorHAnsi" w:cstheme="minorBidi"/>
          <w:b w:val="0"/>
          <w:sz w:val="22"/>
          <w:lang w:eastAsia="sv-SE"/>
        </w:rPr>
        <w:tab/>
      </w:r>
      <w:r>
        <w:t>For a configured grant, the UE starts the CGT timer for the associated HARQ process immediately after the TB is initially transmitted at the PHY layer regardless if repetition is configured or not.</w:t>
      </w:r>
    </w:p>
    <w:p w14:paraId="30BF9C50" w14:textId="3702B3F7" w:rsidR="004D02A1" w:rsidRPr="00DC65AC" w:rsidRDefault="004D02A1" w:rsidP="004D02A1">
      <w:pPr>
        <w:pStyle w:val="BodyText"/>
        <w:rPr>
          <w:b/>
          <w:bCs/>
          <w:highlight w:val="yellow"/>
        </w:rPr>
      </w:pPr>
      <w:r w:rsidRPr="00DC65AC">
        <w:rPr>
          <w:bCs/>
          <w:noProof/>
          <w:szCs w:val="22"/>
        </w:rPr>
        <w:fldChar w:fldCharType="end"/>
      </w:r>
    </w:p>
    <w:p w14:paraId="41DC6528" w14:textId="0221C8EC" w:rsidR="004D02A1" w:rsidRPr="00DC65AC" w:rsidRDefault="004D02A1" w:rsidP="004D02A1">
      <w:r w:rsidRPr="00DC65AC">
        <w:t xml:space="preserve">Based on the discussion in section </w:t>
      </w:r>
      <w:r w:rsidRPr="00DC65AC">
        <w:fldChar w:fldCharType="begin"/>
      </w:r>
      <w:r w:rsidRPr="00DC65AC">
        <w:instrText xml:space="preserve"> REF _Ref525834269 \r \h </w:instrText>
      </w:r>
      <w:r w:rsidRPr="00DC65AC">
        <w:fldChar w:fldCharType="separate"/>
      </w:r>
      <w:r w:rsidR="00C26332">
        <w:t>2</w:t>
      </w:r>
      <w:r w:rsidRPr="00DC65AC">
        <w:fldChar w:fldCharType="end"/>
      </w:r>
      <w:r w:rsidRPr="00DC65AC">
        <w:t xml:space="preserve"> we propose the following:</w:t>
      </w:r>
    </w:p>
    <w:p w14:paraId="402E62BC" w14:textId="77777777" w:rsidR="00C26332" w:rsidRPr="00C26332" w:rsidRDefault="004D02A1">
      <w:pPr>
        <w:pStyle w:val="TOC1"/>
        <w:rPr>
          <w:rFonts w:asciiTheme="minorHAnsi" w:eastAsiaTheme="minorEastAsia" w:hAnsiTheme="minorHAnsi" w:cstheme="minorBidi"/>
          <w:b w:val="0"/>
          <w:sz w:val="22"/>
          <w:lang w:eastAsia="sv-SE"/>
        </w:rPr>
      </w:pPr>
      <w:r w:rsidRPr="00DC65AC">
        <w:rPr>
          <w:b w:val="0"/>
          <w:bCs/>
          <w:lang w:val="en-GB"/>
        </w:rPr>
        <w:fldChar w:fldCharType="begin"/>
      </w:r>
      <w:r w:rsidRPr="00DC65AC">
        <w:rPr>
          <w:b w:val="0"/>
          <w:bCs/>
          <w:lang w:val="en-GB"/>
        </w:rPr>
        <w:instrText xml:space="preserve"> TOC \n \p " " \t "Proposal;1" </w:instrText>
      </w:r>
      <w:r w:rsidRPr="00DC65AC">
        <w:rPr>
          <w:b w:val="0"/>
          <w:bCs/>
          <w:lang w:val="en-GB"/>
        </w:rPr>
        <w:fldChar w:fldCharType="separate"/>
      </w:r>
      <w:r w:rsidR="00C26332" w:rsidRPr="00ED78E3">
        <w:rPr>
          <w:lang w:val="en"/>
        </w:rPr>
        <w:t>Proposal 1</w:t>
      </w:r>
      <w:r w:rsidR="00C26332" w:rsidRPr="00C26332">
        <w:rPr>
          <w:rFonts w:asciiTheme="minorHAnsi" w:eastAsiaTheme="minorEastAsia" w:hAnsiTheme="minorHAnsi" w:cstheme="minorBidi"/>
          <w:b w:val="0"/>
          <w:sz w:val="22"/>
          <w:lang w:eastAsia="sv-SE"/>
        </w:rPr>
        <w:tab/>
      </w:r>
      <w:r w:rsidR="00C26332">
        <w:t>It is left to IOT</w:t>
      </w:r>
      <w:r w:rsidR="00C26332" w:rsidRPr="00ED78E3">
        <w:rPr>
          <w:rFonts w:cs="Arial"/>
        </w:rPr>
        <w:t xml:space="preserve"> WI to define activation and deactivation of CG configurations. No further work is needed for NR-U in Rel-16</w:t>
      </w:r>
      <w:r w:rsidR="00C26332">
        <w:t>.</w:t>
      </w:r>
    </w:p>
    <w:p w14:paraId="4E8E951F" w14:textId="77777777" w:rsidR="00C26332" w:rsidRPr="00C26332" w:rsidRDefault="00C26332">
      <w:pPr>
        <w:pStyle w:val="TOC1"/>
        <w:rPr>
          <w:rFonts w:asciiTheme="minorHAnsi" w:eastAsiaTheme="minorEastAsia" w:hAnsiTheme="minorHAnsi" w:cstheme="minorBidi"/>
          <w:b w:val="0"/>
          <w:sz w:val="22"/>
          <w:lang w:eastAsia="sv-SE"/>
        </w:rPr>
      </w:pPr>
      <w:r w:rsidRPr="00ED78E3">
        <w:rPr>
          <w:lang w:val="en"/>
        </w:rPr>
        <w:t>Proposal 2</w:t>
      </w:r>
      <w:r w:rsidRPr="00C26332">
        <w:rPr>
          <w:rFonts w:asciiTheme="minorHAnsi" w:eastAsiaTheme="minorEastAsia" w:hAnsiTheme="minorHAnsi" w:cstheme="minorBidi"/>
          <w:b w:val="0"/>
          <w:sz w:val="22"/>
          <w:lang w:eastAsia="sv-SE"/>
        </w:rPr>
        <w:tab/>
      </w:r>
      <w:r>
        <w:t>Upon receiving a CG activation command, for each HARQ process configured for the CG and not being used by other CG configurations, the UE performs the below actions:</w:t>
      </w:r>
    </w:p>
    <w:p w14:paraId="4EFBA366" w14:textId="77777777" w:rsidR="00C26332" w:rsidRPr="00C26332" w:rsidRDefault="00C26332">
      <w:pPr>
        <w:pStyle w:val="TOC1"/>
        <w:rPr>
          <w:rFonts w:asciiTheme="minorHAnsi" w:eastAsiaTheme="minorEastAsia" w:hAnsiTheme="minorHAnsi" w:cstheme="minorBidi"/>
          <w:b w:val="0"/>
          <w:sz w:val="22"/>
          <w:lang w:eastAsia="sv-SE"/>
        </w:rPr>
      </w:pPr>
      <w:r>
        <w:t>a.</w:t>
      </w:r>
      <w:r w:rsidRPr="00C26332">
        <w:rPr>
          <w:rFonts w:asciiTheme="minorHAnsi" w:eastAsiaTheme="minorEastAsia" w:hAnsiTheme="minorHAnsi" w:cstheme="minorBidi"/>
          <w:b w:val="0"/>
          <w:sz w:val="22"/>
          <w:lang w:eastAsia="sv-SE"/>
        </w:rPr>
        <w:tab/>
      </w:r>
      <w:r>
        <w:t>stop the CGT for the HARQ process</w:t>
      </w:r>
    </w:p>
    <w:p w14:paraId="26B8516E" w14:textId="77777777" w:rsidR="00C26332" w:rsidRPr="00C26332" w:rsidRDefault="00C26332">
      <w:pPr>
        <w:pStyle w:val="TOC1"/>
        <w:rPr>
          <w:rFonts w:asciiTheme="minorHAnsi" w:eastAsiaTheme="minorEastAsia" w:hAnsiTheme="minorHAnsi" w:cstheme="minorBidi"/>
          <w:b w:val="0"/>
          <w:sz w:val="22"/>
          <w:lang w:eastAsia="sv-SE"/>
        </w:rPr>
      </w:pPr>
      <w:r>
        <w:t>b.</w:t>
      </w:r>
      <w:r w:rsidRPr="00C26332">
        <w:rPr>
          <w:rFonts w:asciiTheme="minorHAnsi" w:eastAsiaTheme="minorEastAsia" w:hAnsiTheme="minorHAnsi" w:cstheme="minorBidi"/>
          <w:b w:val="0"/>
          <w:sz w:val="22"/>
          <w:lang w:eastAsia="sv-SE"/>
        </w:rPr>
        <w:tab/>
      </w:r>
      <w:r>
        <w:t>stop the CGRT for the HARQ process</w:t>
      </w:r>
    </w:p>
    <w:p w14:paraId="0818A67B" w14:textId="77777777" w:rsidR="00C26332" w:rsidRPr="00C26332" w:rsidRDefault="00C26332">
      <w:pPr>
        <w:pStyle w:val="TOC1"/>
        <w:rPr>
          <w:rFonts w:asciiTheme="minorHAnsi" w:eastAsiaTheme="minorEastAsia" w:hAnsiTheme="minorHAnsi" w:cstheme="minorBidi"/>
          <w:b w:val="0"/>
          <w:sz w:val="22"/>
          <w:lang w:eastAsia="sv-SE"/>
        </w:rPr>
      </w:pPr>
      <w:r>
        <w:t>c.</w:t>
      </w:r>
      <w:r w:rsidRPr="00C26332">
        <w:rPr>
          <w:rFonts w:asciiTheme="minorHAnsi" w:eastAsiaTheme="minorEastAsia" w:hAnsiTheme="minorHAnsi" w:cstheme="minorBidi"/>
          <w:b w:val="0"/>
          <w:sz w:val="22"/>
          <w:lang w:eastAsia="sv-SE"/>
        </w:rPr>
        <w:tab/>
      </w:r>
      <w:r>
        <w:t>flush the HARQ buffer for the HARQ process</w:t>
      </w:r>
    </w:p>
    <w:p w14:paraId="34B77508" w14:textId="77777777" w:rsidR="00C26332" w:rsidRPr="00C26332" w:rsidRDefault="00C26332">
      <w:pPr>
        <w:pStyle w:val="TOC1"/>
        <w:rPr>
          <w:rFonts w:asciiTheme="minorHAnsi" w:eastAsiaTheme="minorEastAsia" w:hAnsiTheme="minorHAnsi" w:cstheme="minorBidi"/>
          <w:b w:val="0"/>
          <w:sz w:val="22"/>
          <w:lang w:eastAsia="sv-SE"/>
        </w:rPr>
      </w:pPr>
      <w:r>
        <w:t>d.</w:t>
      </w:r>
      <w:r w:rsidRPr="00C26332">
        <w:rPr>
          <w:rFonts w:asciiTheme="minorHAnsi" w:eastAsiaTheme="minorEastAsia" w:hAnsiTheme="minorHAnsi" w:cstheme="minorBidi"/>
          <w:b w:val="0"/>
          <w:sz w:val="22"/>
          <w:lang w:eastAsia="sv-SE"/>
        </w:rPr>
        <w:tab/>
      </w:r>
      <w:r>
        <w:t>consider the NDI to be toggled for the HARQ process.</w:t>
      </w:r>
    </w:p>
    <w:p w14:paraId="7D117E28" w14:textId="77777777" w:rsidR="00C26332" w:rsidRPr="00C26332" w:rsidRDefault="00C26332">
      <w:pPr>
        <w:pStyle w:val="TOC1"/>
        <w:rPr>
          <w:rFonts w:asciiTheme="minorHAnsi" w:eastAsiaTheme="minorEastAsia" w:hAnsiTheme="minorHAnsi" w:cstheme="minorBidi"/>
          <w:b w:val="0"/>
          <w:sz w:val="22"/>
          <w:lang w:eastAsia="sv-SE"/>
        </w:rPr>
      </w:pPr>
      <w:r w:rsidRPr="00ED78E3">
        <w:rPr>
          <w:lang w:val="en"/>
        </w:rPr>
        <w:t>Proposal 3</w:t>
      </w:r>
      <w:r w:rsidRPr="00C26332">
        <w:rPr>
          <w:rFonts w:asciiTheme="minorHAnsi" w:eastAsiaTheme="minorEastAsia" w:hAnsiTheme="minorHAnsi" w:cstheme="minorBidi"/>
          <w:b w:val="0"/>
          <w:sz w:val="22"/>
          <w:lang w:eastAsia="sv-SE"/>
        </w:rPr>
        <w:tab/>
      </w:r>
      <w:r>
        <w:t xml:space="preserve">The UE can transmit a TB repetition using a different CG configuration/resource from the one used for the initial transmission. </w:t>
      </w:r>
      <w:r w:rsidRPr="00ED78E3">
        <w:rPr>
          <w:rFonts w:cs="Arial"/>
          <w:spacing w:val="2"/>
        </w:rPr>
        <w:t>The selected resource shall provide same size as the initial TB</w:t>
      </w:r>
      <w:r>
        <w:t>.</w:t>
      </w:r>
    </w:p>
    <w:p w14:paraId="2321C4F6" w14:textId="77777777" w:rsidR="00C26332" w:rsidRPr="00C26332" w:rsidRDefault="00C26332">
      <w:pPr>
        <w:pStyle w:val="TOC1"/>
        <w:rPr>
          <w:rFonts w:asciiTheme="minorHAnsi" w:eastAsiaTheme="minorEastAsia" w:hAnsiTheme="minorHAnsi" w:cstheme="minorBidi"/>
          <w:b w:val="0"/>
          <w:sz w:val="22"/>
          <w:lang w:eastAsia="sv-SE"/>
        </w:rPr>
      </w:pPr>
      <w:r w:rsidRPr="00ED78E3">
        <w:rPr>
          <w:lang w:val="en"/>
        </w:rPr>
        <w:t>Proposal 4</w:t>
      </w:r>
      <w:r w:rsidRPr="00C26332">
        <w:rPr>
          <w:rFonts w:asciiTheme="minorHAnsi" w:eastAsiaTheme="minorEastAsia" w:hAnsiTheme="minorHAnsi" w:cstheme="minorBidi"/>
          <w:b w:val="0"/>
          <w:sz w:val="22"/>
          <w:lang w:eastAsia="sv-SE"/>
        </w:rPr>
        <w:tab/>
      </w:r>
      <w:r>
        <w:t>The CGRT is started and restarted immediately after every TB repetition is transmitted using a configured grant if none of the below condition is fulfilled.</w:t>
      </w:r>
    </w:p>
    <w:p w14:paraId="618DD1BB" w14:textId="77777777" w:rsidR="00C26332" w:rsidRPr="00C26332" w:rsidRDefault="00C26332">
      <w:pPr>
        <w:pStyle w:val="TOC1"/>
        <w:rPr>
          <w:rFonts w:asciiTheme="minorHAnsi" w:eastAsiaTheme="minorEastAsia" w:hAnsiTheme="minorHAnsi" w:cstheme="minorBidi"/>
          <w:b w:val="0"/>
          <w:sz w:val="22"/>
          <w:lang w:eastAsia="sv-SE"/>
        </w:rPr>
      </w:pPr>
      <w:r>
        <w:t>a.</w:t>
      </w:r>
      <w:r w:rsidRPr="00C26332">
        <w:rPr>
          <w:rFonts w:asciiTheme="minorHAnsi" w:eastAsiaTheme="minorEastAsia" w:hAnsiTheme="minorHAnsi" w:cstheme="minorBidi"/>
          <w:b w:val="0"/>
          <w:sz w:val="22"/>
          <w:lang w:eastAsia="sv-SE"/>
        </w:rPr>
        <w:tab/>
      </w:r>
      <w:r>
        <w:t>A HARQ acknowledgement (ACK or NACK) for the associated HARQ process is received</w:t>
      </w:r>
    </w:p>
    <w:p w14:paraId="18B3CDE6" w14:textId="77777777" w:rsidR="00C26332" w:rsidRPr="00C26332" w:rsidRDefault="00C26332">
      <w:pPr>
        <w:pStyle w:val="TOC1"/>
        <w:rPr>
          <w:rFonts w:asciiTheme="minorHAnsi" w:eastAsiaTheme="minorEastAsia" w:hAnsiTheme="minorHAnsi" w:cstheme="minorBidi"/>
          <w:b w:val="0"/>
          <w:sz w:val="22"/>
          <w:lang w:eastAsia="sv-SE"/>
        </w:rPr>
      </w:pPr>
      <w:r>
        <w:t>b.</w:t>
      </w:r>
      <w:r w:rsidRPr="00C26332">
        <w:rPr>
          <w:rFonts w:asciiTheme="minorHAnsi" w:eastAsiaTheme="minorEastAsia" w:hAnsiTheme="minorHAnsi" w:cstheme="minorBidi"/>
          <w:b w:val="0"/>
          <w:sz w:val="22"/>
          <w:lang w:eastAsia="sv-SE"/>
        </w:rPr>
        <w:tab/>
      </w:r>
      <w:r>
        <w:t>A dynamic grant indicating a new transmission associated with the same HARQ process is received</w:t>
      </w:r>
    </w:p>
    <w:p w14:paraId="44EEB7A9" w14:textId="77777777" w:rsidR="00C26332" w:rsidRPr="00C26332" w:rsidRDefault="00C26332">
      <w:pPr>
        <w:pStyle w:val="TOC1"/>
        <w:rPr>
          <w:rFonts w:asciiTheme="minorHAnsi" w:eastAsiaTheme="minorEastAsia" w:hAnsiTheme="minorHAnsi" w:cstheme="minorBidi"/>
          <w:b w:val="0"/>
          <w:sz w:val="22"/>
          <w:lang w:eastAsia="sv-SE"/>
        </w:rPr>
      </w:pPr>
      <w:r>
        <w:t>c.</w:t>
      </w:r>
      <w:r w:rsidRPr="00C26332">
        <w:rPr>
          <w:rFonts w:asciiTheme="minorHAnsi" w:eastAsiaTheme="minorEastAsia" w:hAnsiTheme="minorHAnsi" w:cstheme="minorBidi"/>
          <w:b w:val="0"/>
          <w:sz w:val="22"/>
          <w:lang w:eastAsia="sv-SE"/>
        </w:rPr>
        <w:tab/>
      </w:r>
      <w:r>
        <w:t>The CGT timer is expired.</w:t>
      </w:r>
    </w:p>
    <w:p w14:paraId="1C7AA436" w14:textId="5450F0B0" w:rsidR="006B7DB8" w:rsidRDefault="004D02A1">
      <w:r w:rsidRPr="00DC65AC">
        <w:rPr>
          <w:b/>
          <w:bCs/>
          <w:noProof/>
          <w:szCs w:val="22"/>
        </w:rPr>
        <w:fldChar w:fldCharType="end"/>
      </w:r>
    </w:p>
    <w:sectPr w:rsidR="006B7DB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5C5DF" w14:textId="77777777" w:rsidR="00DB7B22" w:rsidRDefault="00DB7B22">
      <w:pPr>
        <w:spacing w:after="0"/>
      </w:pPr>
      <w:r>
        <w:separator/>
      </w:r>
    </w:p>
  </w:endnote>
  <w:endnote w:type="continuationSeparator" w:id="0">
    <w:p w14:paraId="199C52D6" w14:textId="77777777" w:rsidR="00DB7B22" w:rsidRDefault="00DB7B22">
      <w:pPr>
        <w:spacing w:after="0"/>
      </w:pPr>
      <w:r>
        <w:continuationSeparator/>
      </w:r>
    </w:p>
  </w:endnote>
  <w:endnote w:type="continuationNotice" w:id="1">
    <w:p w14:paraId="551BE3A4" w14:textId="77777777" w:rsidR="00DB7B22" w:rsidRDefault="00DB7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77777777" w:rsidR="002F25F4" w:rsidRDefault="002F25F4"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B9FB5" w14:textId="77777777" w:rsidR="00DB7B22" w:rsidRDefault="00DB7B22">
      <w:pPr>
        <w:spacing w:after="0"/>
      </w:pPr>
      <w:r>
        <w:separator/>
      </w:r>
    </w:p>
  </w:footnote>
  <w:footnote w:type="continuationSeparator" w:id="0">
    <w:p w14:paraId="31C38BB1" w14:textId="77777777" w:rsidR="00DB7B22" w:rsidRDefault="00DB7B22">
      <w:pPr>
        <w:spacing w:after="0"/>
      </w:pPr>
      <w:r>
        <w:continuationSeparator/>
      </w:r>
    </w:p>
  </w:footnote>
  <w:footnote w:type="continuationNotice" w:id="1">
    <w:p w14:paraId="7143ADBC" w14:textId="77777777" w:rsidR="00DB7B22" w:rsidRDefault="00DB7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2F25F4" w:rsidRDefault="002F25F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6819D1"/>
    <w:multiLevelType w:val="hybridMultilevel"/>
    <w:tmpl w:val="37566C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4918A7"/>
    <w:multiLevelType w:val="hybridMultilevel"/>
    <w:tmpl w:val="784687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BB04637"/>
    <w:multiLevelType w:val="hybridMultilevel"/>
    <w:tmpl w:val="F64420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3F27BA"/>
    <w:multiLevelType w:val="hybridMultilevel"/>
    <w:tmpl w:val="E604D9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B56B2B"/>
    <w:multiLevelType w:val="hybridMultilevel"/>
    <w:tmpl w:val="16F06B22"/>
    <w:lvl w:ilvl="0" w:tplc="E2F0C8A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8B32D5F"/>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8"/>
  </w:num>
  <w:num w:numId="3">
    <w:abstractNumId w:val="5"/>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18"/>
  </w:num>
  <w:num w:numId="11">
    <w:abstractNumId w:val="17"/>
  </w:num>
  <w:num w:numId="12">
    <w:abstractNumId w:val="13"/>
  </w:num>
  <w:num w:numId="13">
    <w:abstractNumId w:val="13"/>
  </w:num>
  <w:num w:numId="14">
    <w:abstractNumId w:val="7"/>
  </w:num>
  <w:num w:numId="15">
    <w:abstractNumId w:val="6"/>
  </w:num>
  <w:num w:numId="16">
    <w:abstractNumId w:val="4"/>
  </w:num>
  <w:num w:numId="17">
    <w:abstractNumId w:val="13"/>
  </w:num>
  <w:num w:numId="18">
    <w:abstractNumId w:val="12"/>
  </w:num>
  <w:num w:numId="19">
    <w:abstractNumId w:val="16"/>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5"/>
  </w:num>
  <w:num w:numId="2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2FDE"/>
    <w:rsid w:val="00483654"/>
    <w:rsid w:val="004842BF"/>
    <w:rsid w:val="0048483B"/>
    <w:rsid w:val="00485035"/>
    <w:rsid w:val="00485880"/>
    <w:rsid w:val="00486646"/>
    <w:rsid w:val="00486C5C"/>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33"/>
    <w:rsid w:val="00A229C1"/>
    <w:rsid w:val="00A22A68"/>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6"/>
      </w:numPr>
      <w:tabs>
        <w:tab w:val="clear" w:pos="926"/>
      </w:tabs>
      <w:ind w:left="720"/>
      <w:contextualSpacing/>
    </w:pPr>
  </w:style>
  <w:style w:type="paragraph" w:customStyle="1" w:styleId="Agreement">
    <w:name w:val="Agreement"/>
    <w:basedOn w:val="Normal"/>
    <w:next w:val="Normal"/>
    <w:rsid w:val="009C7B54"/>
    <w:pPr>
      <w:numPr>
        <w:numId w:val="7"/>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2DE1"/>
    <w:rPr>
      <w:rFonts w:ascii="Arial" w:eastAsia="MS Mincho" w:hAnsi="Arial" w:cs="Times New Roman"/>
      <w:sz w:val="20"/>
      <w:szCs w:val="24"/>
      <w:lang w:val="en-GB" w:eastAsia="en-GB"/>
    </w:rPr>
  </w:style>
  <w:style w:type="character" w:customStyle="1" w:styleId="B1Char">
    <w:name w:val="B1 Char"/>
    <w:link w:val="B1"/>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unhideWhenUsed/>
    <w:rsid w:val="00364C3D"/>
    <w:rPr>
      <w:color w:val="0000FF"/>
      <w:u w:val="single"/>
    </w:rPr>
  </w:style>
  <w:style w:type="paragraph" w:customStyle="1" w:styleId="EditorsNote">
    <w:name w:val="Editor's Note"/>
    <w:basedOn w:val="Heading4"/>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uiPriority w:val="39"/>
    <w:qFormat/>
    <w:rsid w:val="00104A97"/>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AB6B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B6BAC"/>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AB6B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AB6BAC"/>
    <w:rPr>
      <w:rFonts w:ascii="Arial" w:eastAsia="Times New Roman" w:hAnsi="Arial" w:cs="Times New Roman"/>
      <w:spacing w:val="2"/>
      <w:sz w:val="20"/>
      <w:szCs w:val="20"/>
      <w:lang w:val="en-US"/>
    </w:rPr>
  </w:style>
  <w:style w:type="paragraph" w:styleId="Index1">
    <w:name w:val="index 1"/>
    <w:basedOn w:val="Normal"/>
    <w:next w:val="Normal"/>
    <w:autoRedefine/>
    <w:uiPriority w:val="99"/>
    <w:semiHidden/>
    <w:unhideWhenUsed/>
    <w:rsid w:val="00AB6BAC"/>
    <w:pPr>
      <w:spacing w:after="0"/>
      <w:ind w:left="200" w:hanging="200"/>
    </w:pPr>
  </w:style>
  <w:style w:type="paragraph" w:styleId="IndexHeading">
    <w:name w:val="index heading"/>
    <w:basedOn w:val="Normal"/>
    <w:next w:val="Normal"/>
    <w:rsid w:val="00AB6BAC"/>
    <w:pPr>
      <w:pBdr>
        <w:top w:val="single" w:sz="12" w:space="0" w:color="auto"/>
      </w:pBdr>
      <w:spacing w:before="360" w:after="240"/>
      <w:jc w:val="left"/>
    </w:pPr>
    <w:rPr>
      <w:rFonts w:ascii="Times New Roman" w:hAnsi="Times New Roman"/>
      <w:b/>
      <w:i/>
      <w:sz w:val="2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6327">
      <w:bodyDiv w:val="1"/>
      <w:marLeft w:val="0"/>
      <w:marRight w:val="0"/>
      <w:marTop w:val="0"/>
      <w:marBottom w:val="0"/>
      <w:divBdr>
        <w:top w:val="none" w:sz="0" w:space="0" w:color="auto"/>
        <w:left w:val="none" w:sz="0" w:space="0" w:color="auto"/>
        <w:bottom w:val="none" w:sz="0" w:space="0" w:color="auto"/>
        <w:right w:val="none" w:sz="0" w:space="0" w:color="auto"/>
      </w:divBdr>
    </w:div>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3201800">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494731564">
      <w:bodyDiv w:val="1"/>
      <w:marLeft w:val="0"/>
      <w:marRight w:val="0"/>
      <w:marTop w:val="0"/>
      <w:marBottom w:val="0"/>
      <w:divBdr>
        <w:top w:val="none" w:sz="0" w:space="0" w:color="auto"/>
        <w:left w:val="none" w:sz="0" w:space="0" w:color="auto"/>
        <w:bottom w:val="none" w:sz="0" w:space="0" w:color="auto"/>
        <w:right w:val="none" w:sz="0" w:space="0" w:color="auto"/>
      </w:divBdr>
    </w:div>
    <w:div w:id="506284877">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01494492">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48359907">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41606116">
      <w:bodyDiv w:val="1"/>
      <w:marLeft w:val="0"/>
      <w:marRight w:val="0"/>
      <w:marTop w:val="0"/>
      <w:marBottom w:val="0"/>
      <w:divBdr>
        <w:top w:val="none" w:sz="0" w:space="0" w:color="auto"/>
        <w:left w:val="none" w:sz="0" w:space="0" w:color="auto"/>
        <w:bottom w:val="none" w:sz="0" w:space="0" w:color="auto"/>
        <w:right w:val="none" w:sz="0" w:space="0" w:color="auto"/>
      </w:divBdr>
    </w:div>
    <w:div w:id="760953839">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01966910">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64530591">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198391301">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19670041">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55635643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71352424">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2600</Words>
  <Characters>13782</Characters>
  <Application>Microsoft Office Word</Application>
  <DocSecurity>0</DocSecurity>
  <Lines>114</Lines>
  <Paragraphs>32</Paragraphs>
  <ScaleCrop>false</ScaleCrop>
  <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2020-02-13T20:45:00Z</dcterms:created>
  <dcterms:modified xsi:type="dcterms:W3CDTF">2020-02-13T21:27:00Z</dcterms:modified>
</cp:coreProperties>
</file>